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OTINOVES</w:t>
      </w:r>
    </w:p>
    <w:p w:rsidR="00000000" w:rsidDel="00000000" w:rsidP="00000000" w:rsidRDefault="00000000" w:rsidRPr="00000000" w14:paraId="00000002">
      <w:pPr>
        <w:spacing w:after="12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4201.0" w:type="dxa"/>
        <w:jc w:val="left"/>
        <w:tblLayout w:type="fixed"/>
        <w:tblLook w:val="0400"/>
      </w:tblPr>
      <w:tblGrid>
        <w:gridCol w:w="805"/>
        <w:gridCol w:w="1113"/>
        <w:gridCol w:w="819"/>
        <w:gridCol w:w="760"/>
        <w:gridCol w:w="704"/>
        <w:tblGridChange w:id="0">
          <w:tblGrid>
            <w:gridCol w:w="805"/>
            <w:gridCol w:w="1113"/>
            <w:gridCol w:w="819"/>
            <w:gridCol w:w="760"/>
            <w:gridCol w:w="704"/>
          </w:tblGrid>
        </w:tblGridChange>
      </w:tblGrid>
      <w:tr>
        <w:trPr>
          <w:cantSplit w:val="0"/>
          <w:trHeight w:val="360" w:hRule="atLeast"/>
          <w:tblHeader w:val="0"/>
        </w:trPr>
        <w:tc>
          <w:tcPr>
            <w:tcBorders>
              <w:top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etapa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okres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domů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rodin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osob</w:t>
            </w:r>
            <w:r w:rsidDel="00000000" w:rsidR="00000000" w:rsidRPr="00000000">
              <w:rPr>
                <w:rtl w:val="0"/>
              </w:rPr>
            </w:r>
          </w:p>
        </w:tc>
      </w:tr>
      <w:tr>
        <w:trPr>
          <w:cantSplit w:val="0"/>
          <w:trHeight w:val="360" w:hRule="atLeast"/>
          <w:tblHeader w:val="0"/>
        </w:trPr>
        <w:tc>
          <w:tcPr>
            <w:tcBorders>
              <w:top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000000"/>
                <w:sz w:val="28"/>
                <w:szCs w:val="28"/>
                <w:rtl w:val="0"/>
              </w:rPr>
              <w:t xml:space="preserve">II.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9">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Prostějov</w:t>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A">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225</w:t>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B">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365</w:t>
            </w:r>
          </w:p>
        </w:tc>
        <w:tc>
          <w:tcPr>
            <w:tcBorders>
              <w:top w:color="000000" w:space="0" w:sz="4" w:val="single"/>
              <w:left w:color="000000" w:space="0" w:sz="4" w:val="single"/>
              <w:bottom w:color="000000" w:space="0" w:sz="4" w:val="single"/>
              <w:right w:color="000000" w:space="0" w:sz="4" w:val="single"/>
            </w:tcBorders>
            <w:shd w:fill="ec4eb7" w:val="clear"/>
            <w:tcMar>
              <w:top w:w="0.0" w:type="dxa"/>
              <w:left w:w="70.0" w:type="dxa"/>
              <w:bottom w:w="0.0" w:type="dxa"/>
              <w:right w:w="70.0" w:type="dxa"/>
            </w:tcMar>
            <w:vAlign w:val="bottom"/>
          </w:tcPr>
          <w:p w:rsidR="00000000" w:rsidDel="00000000" w:rsidP="00000000" w:rsidRDefault="00000000" w:rsidRPr="00000000" w14:paraId="0000000C">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1158</w:t>
            </w:r>
          </w:p>
        </w:tc>
      </w:tr>
    </w:tbl>
    <w:p w:rsidR="00000000" w:rsidDel="00000000" w:rsidP="00000000" w:rsidRDefault="00000000" w:rsidRPr="00000000" w14:paraId="0000000D">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Charakteristika obce</w:t>
      </w:r>
    </w:p>
    <w:p w:rsidR="00000000" w:rsidDel="00000000" w:rsidP="00000000" w:rsidRDefault="00000000" w:rsidRPr="00000000" w14:paraId="000000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Otinoves původně patřila Plumlovskému panství. V roce 1711 ji majitel panství Jan Adam Ondřej kníže z Lichtenštejna spolu s vesnicemi Rozstání, Hartmanice a pustými vsemi Vankušem a Svatoňůvkou oddělil a odkázal synovi Filipa z Lichtenštejna Janu Antonínovi. Roku 1872 je nákladem obce vystavěna školní budova pro dvě třídy, později rozšířena na trojtřídku. O dva roky později byl založen spolek vojenských vysloužilců Radecký. Hasičský sbor v obci funguje od roku 1885.</w:t>
      </w:r>
    </w:p>
    <w:p w:rsidR="00000000" w:rsidDel="00000000" w:rsidP="00000000" w:rsidRDefault="00000000" w:rsidRPr="00000000" w14:paraId="00000011">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Průběh vystěhování</w:t>
      </w:r>
    </w:p>
    <w:p w:rsidR="00000000" w:rsidDel="00000000" w:rsidP="00000000" w:rsidRDefault="00000000" w:rsidRPr="00000000" w14:paraId="0000001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Větší obec ležící na prostějovském okrese. Velitel cvičiště žádal její vyklizení už k 1. 5. 1942, ve II. spěšné etapě. Specifikem obce byla (a dodnes stále je) místní mlékárna, tehdy zásobující 28 obcí, kterou okupanti po odsunu prakticky zrušili. Podnik měl po válce vlastní pamětní publikaci. Družstevní mlékárna založená roku 1929 zanikla. Po válce byla její činnost znovu obnovena. Obec byla značně poničena, mnoho obyvatel z Otinovsi se zpět po válce </w:t>
      </w:r>
      <w:r w:rsidDel="00000000" w:rsidR="00000000" w:rsidRPr="00000000">
        <w:rPr>
          <w:rFonts w:ascii="Times New Roman" w:cs="Times New Roman" w:eastAsia="Times New Roman" w:hAnsi="Times New Roman"/>
          <w:sz w:val="24"/>
          <w:szCs w:val="24"/>
          <w:rtl w:val="0"/>
        </w:rPr>
        <w:t xml:space="preserve">nevrátilo</w:t>
      </w:r>
      <w:r w:rsidDel="00000000" w:rsidR="00000000" w:rsidRPr="00000000">
        <w:rPr>
          <w:rFonts w:ascii="Times New Roman" w:cs="Times New Roman" w:eastAsia="Times New Roman" w:hAnsi="Times New Roman"/>
          <w:sz w:val="24"/>
          <w:szCs w:val="24"/>
          <w:rtl w:val="0"/>
        </w:rPr>
        <w:t xml:space="preserve"> – odešlo do Libiny nebo jiných obcí po Němcích.</w:t>
      </w:r>
    </w:p>
    <w:p w:rsidR="00000000" w:rsidDel="00000000" w:rsidP="00000000" w:rsidRDefault="00000000" w:rsidRPr="00000000" w14:paraId="00000014">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 vzpomínek pamětníků</w:t>
      </w:r>
    </w:p>
    <w:p w:rsidR="00000000" w:rsidDel="00000000" w:rsidP="00000000" w:rsidRDefault="00000000" w:rsidRPr="00000000" w14:paraId="0000001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Zdenka Göbelová, rozená Klevetová, Zdeňka Růžičková, rozená Růžičková, Oldřich a Jiří Pořízkovi (je to stejný příběh, stačí jeden odkaz)</w:t>
      </w:r>
    </w:p>
    <w:p w:rsidR="00000000" w:rsidDel="00000000" w:rsidP="00000000" w:rsidRDefault="00000000" w:rsidRPr="00000000" w14:paraId="00000017">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Počet obyvatel v letech 1869–2011</w:t>
      </w:r>
      <w:r w:rsidDel="00000000" w:rsidR="00000000" w:rsidRPr="00000000">
        <w:rPr>
          <w:rtl w:val="0"/>
        </w:rPr>
      </w:r>
    </w:p>
    <w:tbl>
      <w:tblPr>
        <w:tblStyle w:val="Table2"/>
        <w:tblW w:w="3360.0" w:type="dxa"/>
        <w:jc w:val="left"/>
        <w:tblLayout w:type="fixed"/>
        <w:tblLook w:val="0400"/>
      </w:tblPr>
      <w:tblGrid>
        <w:gridCol w:w="1120"/>
        <w:gridCol w:w="908"/>
        <w:gridCol w:w="1332"/>
        <w:tblGridChange w:id="0">
          <w:tblGrid>
            <w:gridCol w:w="1120"/>
            <w:gridCol w:w="908"/>
            <w:gridCol w:w="1332"/>
          </w:tblGrid>
        </w:tblGridChange>
      </w:tblGrid>
      <w:tr>
        <w:trPr>
          <w:cantSplit w:val="0"/>
          <w:trHeight w:val="315" w:hRule="atLeast"/>
          <w:tblHeader w:val="0"/>
        </w:trPr>
        <w:tc>
          <w:tcPr>
            <w:vMerge w:val="restart"/>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9">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ROK</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A">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POČET</w:t>
            </w:r>
          </w:p>
        </w:tc>
      </w:tr>
      <w:tr>
        <w:trPr>
          <w:cantSplit w:val="0"/>
          <w:trHeight w:val="315" w:hRule="atLeast"/>
          <w:tblHeader w:val="0"/>
        </w:trPr>
        <w:tc>
          <w:tcPr>
            <w:vMerge w:val="continue"/>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D">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domů</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E">
            <w:pPr>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obyvatel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162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1225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1252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1235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1312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C">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D">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1347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1226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2">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1138</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517</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1961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9">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504</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B">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C">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442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390</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1991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1">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323</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2001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134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296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292</w:t>
            </w:r>
          </w:p>
        </w:tc>
      </w:tr>
    </w:tbl>
    <w:p w:rsidR="00000000" w:rsidDel="00000000" w:rsidP="00000000" w:rsidRDefault="00000000" w:rsidRPr="00000000" w14:paraId="00000049">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120" w:line="24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paragraph" w:styleId="Textpoznpodarou">
    <w:name w:val="footnote text"/>
    <w:basedOn w:val="Normln"/>
    <w:link w:val="TextpoznpodarouChar"/>
    <w:uiPriority w:val="99"/>
    <w:semiHidden w:val="1"/>
    <w:unhideWhenUsed w:val="1"/>
    <w:rsid w:val="003E7719"/>
    <w:pPr>
      <w:spacing w:after="0" w:line="240" w:lineRule="auto"/>
    </w:pPr>
    <w:rPr>
      <w:sz w:val="20"/>
      <w:szCs w:val="20"/>
    </w:rPr>
  </w:style>
  <w:style w:type="character" w:styleId="TextpoznpodarouChar" w:customStyle="1">
    <w:name w:val="Text pozn. pod čarou Char"/>
    <w:basedOn w:val="Standardnpsmoodstavce"/>
    <w:link w:val="Textpoznpodarou"/>
    <w:uiPriority w:val="99"/>
    <w:semiHidden w:val="1"/>
    <w:rsid w:val="003E7719"/>
    <w:rPr>
      <w:sz w:val="20"/>
      <w:szCs w:val="20"/>
    </w:rPr>
  </w:style>
  <w:style w:type="character" w:styleId="Znakapoznpodarou">
    <w:name w:val="footnote reference"/>
    <w:basedOn w:val="Standardnpsmoodstavce"/>
    <w:uiPriority w:val="99"/>
    <w:semiHidden w:val="1"/>
    <w:unhideWhenUsed w:val="1"/>
    <w:rsid w:val="003E7719"/>
    <w:rPr>
      <w:vertAlign w:val="superscript"/>
    </w:rPr>
  </w:style>
  <w:style w:type="character" w:styleId="Hypertextovodkaz">
    <w:name w:val="Hyperlink"/>
    <w:basedOn w:val="Standardnpsmoodstavce"/>
    <w:uiPriority w:val="99"/>
    <w:semiHidden w:val="1"/>
    <w:unhideWhenUsed w:val="1"/>
    <w:rsid w:val="0037668B"/>
    <w:rPr>
      <w:color w:val="0563c1" w:themeColor="hyperlink"/>
      <w:u w:val="single"/>
    </w:rPr>
  </w:style>
  <w:style w:type="character" w:styleId="Sledovanodkaz">
    <w:name w:val="FollowedHyperlink"/>
    <w:basedOn w:val="Standardnpsmoodstavce"/>
    <w:uiPriority w:val="99"/>
    <w:semiHidden w:val="1"/>
    <w:unhideWhenUsed w:val="1"/>
    <w:rsid w:val="00041FF9"/>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NYkU9ym0IKtbscQ/Pmni6Y30A==">CgMxLjA4AHIhMTV3RzNxV2NnRG1sd1lVaXJuUmNvRmZHUElaTTJ3M2tf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2025-07-16T08:01:00Z</dcterms:created>
  <dc:creator>Šrámková Ivana</dc:creator>
</cp:coreProperties>
</file>