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kac39jv8wei2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Charakteristika obce </w:t>
      </w:r>
    </w:p>
    <w:p w:rsidR="00000000" w:rsidDel="00000000" w:rsidP="00000000" w:rsidRDefault="00000000" w:rsidRPr="00000000" w14:paraId="00000002">
      <w:pPr>
        <w:ind w:firstLine="708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Podomí, horská dělnická obec na Drahanské vrchovině v nadmořské výšce kolem 552 m, má půdorys jednoduché, na západě obestavěné ulicovky s dvorem na severu a jednostrannou řadou domků; název se odvozuje od osobního jména Boda nebo Podom. Počátky osídlení spadají do 1. poloviny 13. století, první písemná zmínka je z roku 1349, kdy ves náležela hradu Holštejnu; dříve příslušela k račickému panství. Roku 1480 byla polovina vsi pustá (u kotvrdovického statku) a druhá polovina patřila k Račicím, roku 1596 byla již plně osedlá. V první polovině 19. století zde působila soukenická továrna van Bruchů, roku 1846 se v budově předla už jen vlna; vedle tkalcovství se obyvatelstvo živilo zemědělstvím a perleťářstvím. Poštovní služby obec zajišťovala přes Ruprechtov a církevně příslušela ke krásenské farnosti. Roku 1964 došlo k dočasnému sloučení Podomí s Krásenskem; dnes je obec samostatná, udržuje venkovský ráz a čerpá ze zázemí lesnaté krajiny i blízkých sídelních 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Ze vzpomínek pamětníků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Marie Součková, rozená Gottvaldová a Pavel Gottvald (pozor, je to jeden příběh, takže společný odkaz)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Průběh vystěhování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uc8rqllbcb3m" w:id="1"/>
    <w:bookmarkEnd w:id="1"/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31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Jedna ze dvou obcí poslední etapy, která nebyla zcela vystěhována. V obci zůstávaly desítky rodin zaměstnanců zbrojní firmy Schenk, což odsun brzdilo. Napomáhalo tomu i šikovné lavírování výrazného starosty Jana Gotvalda před úřady. 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31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Přehled vystěhovaných rodin a domů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00000000002" w:type="dxa"/>
        <w:jc w:val="left"/>
        <w:tblInd w:w="-6.0" w:type="dxa"/>
        <w:tblLayout w:type="fixed"/>
        <w:tblLook w:val="0000"/>
      </w:tblPr>
      <w:tblGrid>
        <w:gridCol w:w="2800"/>
        <w:gridCol w:w="1497"/>
        <w:gridCol w:w="1630"/>
        <w:gridCol w:w="1182"/>
        <w:gridCol w:w="1030"/>
        <w:gridCol w:w="1076"/>
        <w:tblGridChange w:id="0">
          <w:tblGrid>
            <w:gridCol w:w="2800"/>
            <w:gridCol w:w="1497"/>
            <w:gridCol w:w="1630"/>
            <w:gridCol w:w="1182"/>
            <w:gridCol w:w="1030"/>
            <w:gridCol w:w="1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osob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Layout w:type="fixed"/>
        <w:tblLook w:val="0000"/>
      </w:tblPr>
      <w:tblGrid>
        <w:gridCol w:w="2715"/>
        <w:gridCol w:w="1410"/>
        <w:gridCol w:w="1545"/>
        <w:gridCol w:w="1095"/>
        <w:gridCol w:w="945"/>
        <w:gridCol w:w="960"/>
        <w:tblGridChange w:id="0">
          <w:tblGrid>
            <w:gridCol w:w="2715"/>
            <w:gridCol w:w="1410"/>
            <w:gridCol w:w="1545"/>
            <w:gridCol w:w="1095"/>
            <w:gridCol w:w="945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Podomí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IIIb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Vyškov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226</w:t>
            </w:r>
          </w:p>
        </w:tc>
      </w:tr>
    </w:tbl>
    <w:p w:rsidR="00000000" w:rsidDel="00000000" w:rsidP="00000000" w:rsidRDefault="00000000" w:rsidRPr="00000000" w14:paraId="0000001B">
      <w:pPr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Počet obyvatel v letech 1869–2011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3"/>
        <w:tblW w:w="3360.0" w:type="dxa"/>
        <w:jc w:val="left"/>
        <w:tblLayout w:type="fixed"/>
        <w:tblLook w:val="0400"/>
      </w:tblPr>
      <w:tblGrid>
        <w:gridCol w:w="1120"/>
        <w:gridCol w:w="908"/>
        <w:gridCol w:w="1332"/>
        <w:tblGridChange w:id="0">
          <w:tblGrid>
            <w:gridCol w:w="1120"/>
            <w:gridCol w:w="908"/>
            <w:gridCol w:w="1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POČET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obyvatel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540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593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612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673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548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493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495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465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482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435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422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413</w:t>
            </w:r>
          </w:p>
        </w:tc>
      </w:tr>
    </w:tbl>
    <w:p w:rsidR="00000000" w:rsidDel="00000000" w:rsidP="00000000" w:rsidRDefault="00000000" w:rsidRPr="00000000" w14:paraId="0000004D">
      <w:pPr>
        <w:spacing w:after="120" w:lineRule="auto"/>
        <w:jc w:val="both"/>
        <w:rPr/>
      </w:pPr>
      <w:bookmarkStart w:colFirst="0" w:colLast="0" w:name="_heading=h.6py7t3kxlwa3" w:id="2"/>
      <w:bookmarkEnd w:id="2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Liberation Serif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E">
      <w:pPr>
        <w:spacing w:line="259" w:lineRule="auto"/>
        <w:ind w:left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Historický lexikon obcí České republiky - 1869 – 2011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Online. Český statistický úřad. 2015. Dostupné z: </w:t>
      </w:r>
      <w:hyperlink r:id="rId1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https://csu.gov.cz/produkty/historicky-lexikon-obci-1869-az-2015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[cit. 2025-07-21].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adpis">
    <w:name w:val="Nadpis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Arial"/>
    </w:rPr>
  </w:style>
  <w:style w:type="paragraph" w:styleId="Nadpisuser">
    <w:name w:val="Nadpis (user)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Rejstkuser">
    <w:name w:val="Rejstřík (user)"/>
    <w:basedOn w:val="Normal"/>
    <w:qFormat w:val="1"/>
    <w:pPr>
      <w:suppressLineNumbers w:val="1"/>
    </w:pPr>
    <w:rPr>
      <w:rFonts w:cs="Arial"/>
    </w:rPr>
  </w:style>
  <w:style w:type="paragraph" w:styleId="Obsahtabulkyuser">
    <w:name w:val="Obsah tabulky (user)"/>
    <w:basedOn w:val="Normal"/>
    <w:qFormat w:val="1"/>
    <w:pPr>
      <w:widowControl w:val="0"/>
      <w:suppressLineNumbers w:val="1"/>
    </w:pPr>
    <w:rPr/>
  </w:style>
  <w:style w:type="paragraph" w:styleId="Nadpistabulkyuser">
    <w:name w:val="Nadpis tabulky (user)"/>
    <w:basedOn w:val="Obsahtabulkyuser"/>
    <w:qFormat w:val="1"/>
    <w:pPr>
      <w:suppressLineNumbers w:val="1"/>
      <w:jc w:val="center"/>
    </w:pPr>
    <w:rPr>
      <w:b w:val="1"/>
      <w:bCs w:val="1"/>
    </w:rPr>
  </w:style>
  <w:style w:type="paragraph" w:styleId="Obsahtabulky">
    <w:name w:val="Obsah tabulky"/>
    <w:basedOn w:val="Normal"/>
    <w:qFormat w:val="1"/>
    <w:pPr>
      <w:widowControl w:val="0"/>
      <w:suppressLineNumbers w:val="1"/>
    </w:pPr>
    <w:rPr/>
  </w:style>
  <w:style w:type="paragraph" w:styleId="Nadpistabulky">
    <w:name w:val="Nadpis tabulky"/>
    <w:basedOn w:val="Obsahtabulky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csu.gov.cz/produkty/historicky-lexikon-obci-1869-az-2015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5jBWM8/T/+WYXxbI0RTfM44Pvg==">CgMxLjAyD2lkLmthYzM5anY4d2VpMjIPaWQudWM4cnFsbGJjYjNtMg5oLjZweTd0M2t4bHdhMzgAciExckdybGdwalJOY216dGZjSlotLVpVR09NdS1HTlluNzc=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