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SENETÁŘOV</w: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4255.0" w:type="dxa"/>
        <w:jc w:val="left"/>
        <w:tblLayout w:type="fixed"/>
        <w:tblLook w:val="0400"/>
      </w:tblPr>
      <w:tblGrid>
        <w:gridCol w:w="805"/>
        <w:gridCol w:w="1167"/>
        <w:gridCol w:w="819"/>
        <w:gridCol w:w="760"/>
        <w:gridCol w:w="704"/>
        <w:tblGridChange w:id="0">
          <w:tblGrid>
            <w:gridCol w:w="805"/>
            <w:gridCol w:w="1167"/>
            <w:gridCol w:w="819"/>
            <w:gridCol w:w="760"/>
            <w:gridCol w:w="704"/>
          </w:tblGrid>
        </w:tblGridChange>
      </w:tblGrid>
      <w:tr>
        <w:trPr>
          <w:cantSplit w:val="0"/>
          <w:trHeight w:val="360" w:hRule="atLeast"/>
          <w:tblHeader w:val="0"/>
        </w:trPr>
        <w:tc>
          <w:tcPr>
            <w:tcBorders>
              <w:top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000000"/>
                <w:sz w:val="28"/>
                <w:szCs w:val="28"/>
                <w:rtl w:val="0"/>
              </w:rPr>
              <w:t xml:space="preserve">etapa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000000"/>
                <w:sz w:val="28"/>
                <w:szCs w:val="28"/>
                <w:rtl w:val="0"/>
              </w:rPr>
              <w:t xml:space="preserve">okres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000000"/>
                <w:sz w:val="28"/>
                <w:szCs w:val="28"/>
                <w:rtl w:val="0"/>
              </w:rPr>
              <w:t xml:space="preserve">domů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000000"/>
                <w:sz w:val="28"/>
                <w:szCs w:val="28"/>
                <w:rtl w:val="0"/>
              </w:rPr>
              <w:t xml:space="preserve">rodin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000000"/>
                <w:sz w:val="28"/>
                <w:szCs w:val="28"/>
                <w:rtl w:val="0"/>
              </w:rPr>
              <w:t xml:space="preserve">osob</w:t>
            </w:r>
            <w:r w:rsidDel="00000000" w:rsidR="00000000" w:rsidRPr="00000000">
              <w:rPr>
                <w:rtl w:val="0"/>
              </w:rPr>
            </w:r>
          </w:p>
        </w:tc>
      </w:tr>
      <w:tr>
        <w:trPr>
          <w:cantSplit w:val="0"/>
          <w:trHeight w:val="360" w:hRule="atLeast"/>
          <w:tblHeader w:val="0"/>
        </w:trPr>
        <w:tc>
          <w:tcPr>
            <w:tcBorders>
              <w:top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000000"/>
                <w:sz w:val="28"/>
                <w:szCs w:val="28"/>
                <w:rtl w:val="0"/>
              </w:rPr>
              <w:t xml:space="preserve">IIIb.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9">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Boskovice</w:t>
            </w:r>
          </w:p>
        </w:tc>
        <w:tc>
          <w:tcPr>
            <w:tcBorders>
              <w:top w:color="000000" w:space="0" w:sz="4" w:val="single"/>
              <w:left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59</w:t>
            </w:r>
          </w:p>
        </w:tc>
        <w:tc>
          <w:tcPr>
            <w:tcBorders>
              <w:top w:color="000000" w:space="0" w:sz="4" w:val="single"/>
              <w:left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w:t>
            </w:r>
          </w:p>
        </w:tc>
        <w:tc>
          <w:tcPr>
            <w:tcBorders>
              <w:top w:color="000000" w:space="0" w:sz="4" w:val="single"/>
              <w:left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204</w:t>
            </w:r>
          </w:p>
        </w:tc>
      </w:tr>
    </w:tbl>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 roku 1251 byl Senetářov ve vlastnictví pánů z Ceblovic, Jedovnic a později z Holštejna. Jelikož se jedná o oblast Moravského krasu, kde pro zemědělskou výrobu nepanovaly vhodné podmínky, byla již v 19. století značná část obyvatel nucena hledat jiné formy obživy. V Senetářově bylo kromě sítěk na vlasy a síťování záclon rozšířeno zejména perleťářství. To sem přinesl vídeňský podnikatel Alfons Tománek, když zde v osmdesátých letech 19. století založil perleťářskou továrnu na výrobu knoflíků.</w:t>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Malebná obec ležící bezprostředně pod vrchem Kojál na rozhraní tří okresů – boskovického, prostějovského a vyškovského, měla být evakuována v druhé části etapy IIIb, tedy do 30. června 1944. Ve zdejší obci stála kaple sv. Josefa, která byla vystavěna v roce 1855. Při oslavě patrona kaple, tedy 19. března 1942, si místní občané v čele s tehdejším jedovnickým kooperátorem a senetářovským rodákem P. Josefem Zouharem slíbili, že jestli ke stěhování vůbec nedojde, popřípadě když se lidé budou moci vrátit domů, postaví ve vesnici novou kapli, či opraví stávající. Slib sice nebyl zapsán, ale byl slavnostně pronesen před sochou patrona obce a potvrzen společným sv. přijímáním celé obce. Závazek byl v dalších letech zopakován. Vždy na svátek sv. Josefa se Senetářovští sešli a zopakovali si svůj slib. V roce 1944, kdy již bylo stěhování na spadnutí, byl tento příslib dokonce sepsán, vytisknut a předán každému občanovi při jeho odchodu z obce. Po válce se místní činili a dělali vše proto, aby dosáhli svého slibu. Museli počkat dlouhých 25 let po válce, kdy byl postaven a slavnostně vysvěcen kostel sv. Josefa, jenž se dodnes řadí mezi unikátní sakrální stavby kraje.</w:t>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Ze vzpomínek pamětníků</w:t>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Ludmila Zouharová, rozené Zouharová</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Počet obyvatel v letech 1869–2011</w:t>
      </w:r>
      <w:r w:rsidDel="00000000" w:rsidR="00000000" w:rsidRPr="00000000">
        <w:rPr>
          <w:rtl w:val="0"/>
        </w:rPr>
      </w:r>
    </w:p>
    <w:tbl>
      <w:tblPr>
        <w:tblStyle w:val="Table2"/>
        <w:tblW w:w="3360.0" w:type="dxa"/>
        <w:jc w:val="left"/>
        <w:tblLayout w:type="fixed"/>
        <w:tblLook w:val="0400"/>
      </w:tblPr>
      <w:tblGrid>
        <w:gridCol w:w="1120"/>
        <w:gridCol w:w="908"/>
        <w:gridCol w:w="1332"/>
        <w:tblGridChange w:id="0">
          <w:tblGrid>
            <w:gridCol w:w="1120"/>
            <w:gridCol w:w="908"/>
            <w:gridCol w:w="1332"/>
          </w:tblGrid>
        </w:tblGridChange>
      </w:tblGrid>
      <w:tr>
        <w:trPr>
          <w:cantSplit w:val="0"/>
          <w:trHeight w:val="315" w:hRule="atLeast"/>
          <w:tblHeader w:val="0"/>
        </w:trPr>
        <w:tc>
          <w:tcPr>
            <w:vMerge w:val="restart"/>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A">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ROK</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B">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POČET</w:t>
            </w:r>
          </w:p>
        </w:tc>
      </w:tr>
      <w:tr>
        <w:trPr>
          <w:cantSplit w:val="0"/>
          <w:trHeight w:val="315" w:hRule="atLeast"/>
          <w:tblHeader w:val="0"/>
        </w:trPr>
        <w:tc>
          <w:tcPr>
            <w:vMerge w:val="continue"/>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E">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domů</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F">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obyvatel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1869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1">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2">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725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1880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4">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5">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721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1890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7">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8">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747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B">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747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D">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E">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746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0">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1">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711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3">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4">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661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6">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7">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584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1961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9">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A">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617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C">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D">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598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0">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542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1991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2">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3">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524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5">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6">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493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9">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510</w:t>
            </w:r>
          </w:p>
        </w:tc>
      </w:tr>
    </w:tbl>
    <w:p w:rsidR="00000000" w:rsidDel="00000000" w:rsidP="00000000" w:rsidRDefault="00000000" w:rsidRPr="00000000" w14:paraId="0000004A">
      <w:pPr>
        <w:spacing w:after="120" w:line="24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Standardnpsmoodstavce" w:default="1">
    <w:name w:val="Default Paragraph Font"/>
    <w:uiPriority w:val="1"/>
    <w:semiHidden w:val="1"/>
    <w:unhideWhenUsed w:val="1"/>
  </w:style>
  <w:style w:type="table" w:styleId="Normlntabul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seznamu" w:default="1">
    <w:name w:val="No List"/>
    <w:uiPriority w:val="99"/>
    <w:semiHidden w:val="1"/>
    <w:unhideWhenUsed w:val="1"/>
  </w:style>
  <w:style w:type="character" w:styleId="Hypertextovodkaz">
    <w:name w:val="Hyperlink"/>
    <w:basedOn w:val="Standardnpsmoodstavce"/>
    <w:uiPriority w:val="99"/>
    <w:semiHidden w:val="1"/>
    <w:unhideWhenUsed w:val="1"/>
    <w:rsid w:val="004B5D3F"/>
    <w:rPr>
      <w:color w:val="0563c1" w:themeColor="hyperlink"/>
      <w:u w:val="single"/>
    </w:rPr>
  </w:style>
  <w:style w:type="character" w:styleId="Znakapoznpodarou">
    <w:name w:val="footnote reference"/>
    <w:basedOn w:val="Standardnpsmoodstavce"/>
    <w:uiPriority w:val="99"/>
    <w:semiHidden w:val="1"/>
    <w:unhideWhenUsed w:val="1"/>
    <w:rsid w:val="004B5D3F"/>
    <w:rPr>
      <w:vertAlign w:val="superscript"/>
    </w:rPr>
  </w:style>
  <w:style w:type="paragraph" w:styleId="Textpoznpodarou">
    <w:name w:val="footnote text"/>
    <w:basedOn w:val="Normln"/>
    <w:link w:val="TextpoznpodarouChar"/>
    <w:uiPriority w:val="99"/>
    <w:semiHidden w:val="1"/>
    <w:unhideWhenUsed w:val="1"/>
    <w:rsid w:val="00B767AF"/>
    <w:pPr>
      <w:spacing w:after="0" w:line="240" w:lineRule="auto"/>
    </w:pPr>
    <w:rPr>
      <w:sz w:val="20"/>
      <w:szCs w:val="20"/>
    </w:rPr>
  </w:style>
  <w:style w:type="character" w:styleId="TextpoznpodarouChar" w:customStyle="1">
    <w:name w:val="Text pozn. pod čarou Char"/>
    <w:basedOn w:val="Standardnpsmoodstavce"/>
    <w:link w:val="Textpoznpodarou"/>
    <w:uiPriority w:val="99"/>
    <w:semiHidden w:val="1"/>
    <w:rsid w:val="00B767AF"/>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4sONefyq10fVqyyKQ7YXlfo1yQ==">CgMxLjA4AHIhMVpPQ3dmcUcySGxfMkRydlpzc0RKa3hmbGpzSWZFeVd2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2025-07-16T08:01:00Z</dcterms:created>
  <dc:creator>Šrámková Ivana</dc:creator>
</cp:coreProperties>
</file>