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notes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pageBreakBefore w:val="false"/>
        <w:ind w:hanging="0" w:start="0"/>
        <w:jc w:val="both"/>
        <w:rPr>
          <w:rFonts w:ascii="Liberation Serif" w:hAnsi="Liberation Serif" w:eastAsia="Liberation Serif" w:cs="Liberation 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</w:rPr>
        <w:t xml:space="preserve">Kotvrdovice, obec na rozhraní Moravského krasu a Drahanské vrchoviny v okrese Blansko, vznikla ve 2. polovině 13. století v rámci kolonizace holštejnského panství (pravděpodobně kolem roku 1250) a nese původní jméno Gottfriedschlag (později Gothfridowitz) po lokátorovi; první písemná zmínka je z roku 1349. V 15.–16. století se vystřídala řada držitelů, významně rod Gedeonů z Olešničky (1492–1574); s Onešem Gedeonem je v místní tradici spojeno i jméno rybníka Olšovce. Za německé okupace byly Kotvrdovice – stejně jako další obce Drahanské vrchoviny – určeny k vystěhování kvůli rozšiřování vyškovské střelnice a užívaly opět název Gottfriedschlag. Dnešní podobu obce dotváří kaple Božského Srdce Páně (posvěcená 1942) s výjimečným novodobým oltářem: oltářním obrazem Mikuláše Medka a plastikou Jana Koblasy (na průčelí od roku 2014), které řadí Kotvrdovice k významným místům poválečného českého sakrálního umění. Obec si udržuje venkovský charakter a vazby na rekreační oblast Moravského krasu; v novější historii k ní patří i partnerské vztahy se zahraničím a aktivní spolkový život. </w:t>
      </w:r>
      <w:bookmarkStart w:id="0" w:name="bookmark=id.gxf9t2ceo6jg"/>
      <w:bookmarkEnd w:id="0"/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331" w:before="0" w:after="200"/>
        <w:ind w:hanging="0" w:start="0" w:end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1" w:name="bookmark=id.gxf9t2ceo6jg_Copy_1"/>
      <w:bookmarkEnd w:id="1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Spolu s Lipovcem vybrány jako sídlo komandatury (vojenský hospodářský dvůr). Do prázdných domů se nastěhovali zaměstnanci – obyvatelé z dříve vyklizených obcí. Specifické je systematické rozebírání materiálu z okolních obcí ve prospěch oprav v Kotvrdovicích. Kotvrdovice se uvádí jako jedno ze dvou oficiálních sídel komandatury.</w:t>
      </w:r>
    </w:p>
    <w:tbl>
      <w:tblPr>
        <w:tblStyle w:val="Table1"/>
        <w:tblW w:w="9215" w:type="dxa"/>
        <w:jc w:val="start"/>
        <w:tblInd w:w="-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800"/>
        <w:gridCol w:w="1496"/>
        <w:gridCol w:w="1631"/>
        <w:gridCol w:w="1182"/>
        <w:gridCol w:w="1028"/>
        <w:gridCol w:w="1078"/>
      </w:tblGrid>
      <w:tr>
        <w:trPr/>
        <w:tc>
          <w:tcPr>
            <w:tcW w:w="2800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31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obec</w:t>
            </w:r>
          </w:p>
        </w:tc>
        <w:tc>
          <w:tcPr>
            <w:tcW w:w="1496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31" w:before="0" w:after="0"/>
              <w:ind w:hanging="0" w:start="0" w:end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etapa</w:t>
            </w:r>
          </w:p>
        </w:tc>
        <w:tc>
          <w:tcPr>
            <w:tcW w:w="163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31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okres</w:t>
            </w:r>
          </w:p>
        </w:tc>
        <w:tc>
          <w:tcPr>
            <w:tcW w:w="1182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31" w:before="0" w:after="0"/>
              <w:ind w:hanging="0" w:start="0" w:end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domů</w:t>
            </w:r>
          </w:p>
        </w:tc>
        <w:tc>
          <w:tcPr>
            <w:tcW w:w="1028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31" w:before="0" w:after="0"/>
              <w:ind w:hanging="0" w:start="0" w:end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rodin</w:t>
            </w:r>
          </w:p>
        </w:tc>
        <w:tc>
          <w:tcPr>
            <w:tcW w:w="1078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31" w:before="0" w:after="0"/>
              <w:ind w:hanging="0" w:start="0" w:end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osob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Serif" w:hAnsi="Liberation Serif" w:eastAsia="Liberation Serif" w:cs="Liberation 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Liberation Serif" w:cs="Liberation Serif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2"/>
        <w:tblW w:w="867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713"/>
        <w:gridCol w:w="1412"/>
        <w:gridCol w:w="1545"/>
        <w:gridCol w:w="1095"/>
        <w:gridCol w:w="945"/>
        <w:gridCol w:w="960"/>
      </w:tblGrid>
      <w:tr>
        <w:trPr/>
        <w:tc>
          <w:tcPr>
            <w:tcW w:w="2713" w:type="dxa"/>
            <w:tcBorders>
              <w:top w:val="single" w:sz="4" w:space="0" w:color="000000"/>
              <w:bottom w:val="single" w:sz="4" w:space="0" w:color="000000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iberation Serif" w:hAnsi="Liberation Serif" w:eastAsia="Liberation Serif" w:cs="Liberation 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Kotvrdovice</w:t>
            </w:r>
          </w:p>
        </w:tc>
        <w:tc>
          <w:tcPr>
            <w:tcW w:w="1412" w:type="dxa"/>
            <w:tcBorders>
              <w:top w:val="single" w:sz="4" w:space="0" w:color="000000"/>
              <w:bottom w:val="single" w:sz="4" w:space="0" w:color="000000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center"/>
              <w:rPr>
                <w:rFonts w:ascii="Liberation Serif" w:hAnsi="Liberation Serif" w:eastAsia="Liberation Serif" w:cs="Liberation 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IIIb</w:t>
            </w:r>
          </w:p>
        </w:tc>
        <w:tc>
          <w:tcPr>
            <w:tcW w:w="1545" w:type="dxa"/>
            <w:tcBorders>
              <w:top w:val="single" w:sz="4" w:space="0" w:color="000000"/>
              <w:bottom w:val="single" w:sz="4" w:space="0" w:color="000000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iberation Serif" w:hAnsi="Liberation Serif" w:eastAsia="Liberation Serif" w:cs="Liberation 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Boskovice</w:t>
            </w:r>
          </w:p>
        </w:tc>
        <w:tc>
          <w:tcPr>
            <w:tcW w:w="1095" w:type="dxa"/>
            <w:tcBorders>
              <w:top w:val="single" w:sz="4" w:space="0" w:color="000000"/>
              <w:bottom w:val="single" w:sz="4" w:space="0" w:color="000000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center"/>
              <w:rPr>
                <w:rFonts w:ascii="Liberation Serif" w:hAnsi="Liberation Serif" w:eastAsia="Liberation Serif" w:cs="Liberation 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206</w:t>
            </w:r>
          </w:p>
        </w:tc>
        <w:tc>
          <w:tcPr>
            <w:tcW w:w="945" w:type="dxa"/>
            <w:tcBorders>
              <w:top w:val="single" w:sz="4" w:space="0" w:color="000000"/>
              <w:bottom w:val="single" w:sz="4" w:space="0" w:color="000000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center"/>
              <w:rPr>
                <w:rFonts w:ascii="Liberation Serif" w:hAnsi="Liberation Serif" w:eastAsia="Liberation Serif" w:cs="Liberation 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299</w:t>
            </w:r>
          </w:p>
        </w:tc>
        <w:tc>
          <w:tcPr>
            <w:tcW w:w="960" w:type="dxa"/>
            <w:tcBorders>
              <w:top w:val="single" w:sz="4" w:space="0" w:color="000000"/>
              <w:bottom w:val="single" w:sz="4" w:space="0" w:color="000000"/>
            </w:tcBorders>
            <w:shd w:fill="BFBFBF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center"/>
              <w:rPr>
                <w:rFonts w:ascii="Liberation Serif" w:hAnsi="Liberation Serif" w:eastAsia="Liberation Serif" w:cs="Liberation 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1050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Serif" w:hAnsi="Liberation Serif" w:eastAsia="Liberation Serif" w:cs="Liberation 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b/>
        </w:rPr>
        <w:t>Počet obyvatel v letech 1869–2011</w:t>
      </w:r>
      <w:r>
        <w:rPr>
          <w:rStyle w:val="FootnoteReference"/>
          <w:rFonts w:eastAsia="Times New Roman" w:cs="Times New Roman" w:ascii="Times New Roman" w:hAnsi="Times New Roman"/>
          <w:b/>
          <w:vertAlign w:val="superscript"/>
        </w:rPr>
        <w:footnoteReference w:id="2"/>
      </w:r>
      <w:r>
        <w:rPr>
          <w:rFonts w:eastAsia="Times New Roman" w:cs="Times New Roman" w:ascii="Times New Roman" w:hAnsi="Times New Roman"/>
        </w:rPr>
        <w:t xml:space="preserve"> </w:t>
      </w:r>
    </w:p>
    <w:tbl>
      <w:tblPr>
        <w:tblStyle w:val="Table3"/>
        <w:tblW w:w="3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1120"/>
        <w:gridCol w:w="908"/>
        <w:gridCol w:w="1332"/>
      </w:tblGrid>
      <w:tr>
        <w:trPr>
          <w:trHeight w:val="315" w:hRule="atLeast"/>
        </w:trPr>
        <w:tc>
          <w:tcPr>
            <w:tcW w:w="1120" w:type="dxa"/>
            <w:vMerge w:val="restart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>ROK</w:t>
            </w:r>
          </w:p>
        </w:tc>
        <w:tc>
          <w:tcPr>
            <w:tcW w:w="2240" w:type="dxa"/>
            <w:gridSpan w:val="2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>POČET</w:t>
            </w:r>
          </w:p>
        </w:tc>
      </w:tr>
      <w:tr>
        <w:trPr>
          <w:trHeight w:val="315" w:hRule="atLeast"/>
        </w:trPr>
        <w:tc>
          <w:tcPr>
            <w:tcW w:w="1120" w:type="dxa"/>
            <w:vMerge w:val="continue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widowControl w:val="false"/>
              <w:spacing w:lineRule="auto" w:line="276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>domů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eastAsia="Arial" w:cs="Arial" w:ascii="Arial" w:hAnsi="Arial"/>
                <w:b/>
              </w:rPr>
              <w:t>obyvatel</w:t>
            </w:r>
          </w:p>
        </w:tc>
      </w:tr>
      <w:tr>
        <w:trPr>
          <w:trHeight w:val="300" w:hRule="atLeast"/>
        </w:trPr>
        <w:tc>
          <w:tcPr>
            <w:tcW w:w="1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1869</w:t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120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828</w:t>
            </w:r>
          </w:p>
        </w:tc>
      </w:tr>
      <w:tr>
        <w:trPr>
          <w:trHeight w:val="300" w:hRule="atLeast"/>
        </w:trPr>
        <w:tc>
          <w:tcPr>
            <w:tcW w:w="1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1880</w:t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125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862</w:t>
            </w:r>
          </w:p>
        </w:tc>
      </w:tr>
      <w:tr>
        <w:trPr>
          <w:trHeight w:val="300" w:hRule="atLeast"/>
        </w:trPr>
        <w:tc>
          <w:tcPr>
            <w:tcW w:w="1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1890</w:t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131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870</w:t>
            </w:r>
          </w:p>
        </w:tc>
      </w:tr>
      <w:tr>
        <w:trPr>
          <w:trHeight w:val="300" w:hRule="atLeast"/>
        </w:trPr>
        <w:tc>
          <w:tcPr>
            <w:tcW w:w="1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1900</w:t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138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845</w:t>
            </w:r>
          </w:p>
        </w:tc>
      </w:tr>
      <w:tr>
        <w:trPr>
          <w:trHeight w:val="300" w:hRule="atLeast"/>
        </w:trPr>
        <w:tc>
          <w:tcPr>
            <w:tcW w:w="1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1910</w:t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150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886</w:t>
            </w:r>
          </w:p>
        </w:tc>
      </w:tr>
      <w:tr>
        <w:trPr>
          <w:trHeight w:val="300" w:hRule="atLeast"/>
        </w:trPr>
        <w:tc>
          <w:tcPr>
            <w:tcW w:w="1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1921</w:t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152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962</w:t>
            </w:r>
          </w:p>
        </w:tc>
      </w:tr>
      <w:tr>
        <w:trPr>
          <w:trHeight w:val="300" w:hRule="atLeast"/>
        </w:trPr>
        <w:tc>
          <w:tcPr>
            <w:tcW w:w="1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1930</w:t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174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859</w:t>
            </w:r>
          </w:p>
        </w:tc>
      </w:tr>
      <w:tr>
        <w:trPr>
          <w:trHeight w:val="300" w:hRule="atLeast"/>
        </w:trPr>
        <w:tc>
          <w:tcPr>
            <w:tcW w:w="1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1950</w:t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196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848</w:t>
            </w:r>
          </w:p>
        </w:tc>
      </w:tr>
      <w:tr>
        <w:trPr>
          <w:trHeight w:val="300" w:hRule="atLeast"/>
        </w:trPr>
        <w:tc>
          <w:tcPr>
            <w:tcW w:w="1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1961</w:t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209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911</w:t>
            </w:r>
          </w:p>
        </w:tc>
      </w:tr>
      <w:tr>
        <w:trPr>
          <w:trHeight w:val="300" w:hRule="atLeast"/>
        </w:trPr>
        <w:tc>
          <w:tcPr>
            <w:tcW w:w="1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1970</w:t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211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890</w:t>
            </w:r>
          </w:p>
        </w:tc>
      </w:tr>
      <w:tr>
        <w:trPr>
          <w:trHeight w:val="300" w:hRule="atLeast"/>
        </w:trPr>
        <w:tc>
          <w:tcPr>
            <w:tcW w:w="1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1980</w:t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216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858</w:t>
            </w:r>
          </w:p>
        </w:tc>
      </w:tr>
      <w:tr>
        <w:trPr>
          <w:trHeight w:val="300" w:hRule="atLeast"/>
        </w:trPr>
        <w:tc>
          <w:tcPr>
            <w:tcW w:w="1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1991</w:t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255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866</w:t>
            </w:r>
          </w:p>
        </w:tc>
      </w:tr>
      <w:tr>
        <w:trPr>
          <w:trHeight w:val="300" w:hRule="atLeast"/>
        </w:trPr>
        <w:tc>
          <w:tcPr>
            <w:tcW w:w="1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2001</w:t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265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838</w:t>
            </w:r>
          </w:p>
        </w:tc>
      </w:tr>
      <w:tr>
        <w:trPr>
          <w:trHeight w:val="300" w:hRule="atLeast"/>
        </w:trPr>
        <w:tc>
          <w:tcPr>
            <w:tcW w:w="1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2011</w:t>
            </w:r>
          </w:p>
        </w:tc>
        <w:tc>
          <w:tcPr>
            <w:tcW w:w="908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282</w:t>
            </w:r>
          </w:p>
        </w:tc>
        <w:tc>
          <w:tcPr>
            <w:tcW w:w="1332" w:type="dxa"/>
            <w:tcBorders>
              <w:bottom w:val="single" w:sz="4" w:space="0" w:color="000000"/>
              <w:end w:val="single" w:sz="4" w:space="0" w:color="000000"/>
            </w:tcBorders>
            <w:shd w:fill="auto" w:val="clear"/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  <w:t>862</w:t>
            </w:r>
          </w:p>
        </w:tc>
      </w:tr>
    </w:tbl>
    <w:p>
      <w:pPr>
        <w:pStyle w:val="normal1"/>
        <w:spacing w:lineRule="auto" w:line="240" w:before="0" w:after="120"/>
        <w:jc w:val="both"/>
        <w:rPr>
          <w:rFonts w:ascii="Times New Roman" w:hAnsi="Times New Roman" w:eastAsia="Times New Roman" w:cs="Times New Roman"/>
          <w:b/>
        </w:rPr>
      </w:pPr>
      <w:r>
        <w:rPr>
          <w:rFonts w:eastAsia="Times New Roman" w:cs="Times New Roman" w:ascii="Times New Roman" w:hAnsi="Times New Roman"/>
          <w:b/>
        </w:rPr>
      </w:r>
      <w:bookmarkStart w:id="2" w:name="_heading=h.cnqtuytrpkaz"/>
      <w:bookmarkStart w:id="3" w:name="_heading=h.cnqtuytrpkaz"/>
      <w:bookmarkEnd w:id="3"/>
    </w:p>
    <w:sectPr>
      <w:footnotePr>
        <w:numFmt w:val="decimal"/>
      </w:footnotePr>
      <w:type w:val="nextPage"/>
      <w:pgSz w:w="11906" w:h="16838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/>
    </w:p>
  </w:footnote>
  <w:footnote w:id="1" w:type="continuationSeparator">
    <w:p>
      <w:r/>
    </w:p>
  </w:footnote>
  <w:footnote w:id="2">
    <w:p>
      <w:pPr>
        <w:pStyle w:val="normal1"/>
        <w:spacing w:lineRule="auto" w:line="259"/>
        <w:ind w:start="142"/>
        <w:rPr>
          <w:rFonts w:ascii="Arial" w:hAnsi="Arial" w:eastAsia="Arial" w:cs="Arial"/>
          <w:sz w:val="20"/>
          <w:szCs w:val="20"/>
        </w:rPr>
      </w:pPr>
      <w:r>
        <w:rPr>
          <w:rStyle w:val="FootnoteCharacters"/>
        </w:rPr>
        <w:footnoteRef/>
      </w:r>
      <w:r>
        <w:rPr>
          <w:rFonts w:eastAsia="Arial" w:cs="Arial" w:ascii="Arial" w:hAnsi="Arial"/>
          <w:sz w:val="20"/>
          <w:szCs w:val="20"/>
        </w:rPr>
        <w:t xml:space="preserve"> </w:t>
      </w:r>
      <w:r>
        <w:rPr>
          <w:rFonts w:eastAsia="Arial" w:cs="Arial" w:ascii="Arial" w:hAnsi="Arial"/>
          <w:i/>
          <w:sz w:val="20"/>
          <w:szCs w:val="20"/>
        </w:rPr>
        <w:t>Historický lexikon obcí České republiky - 1869 – 2011</w:t>
      </w:r>
      <w:r>
        <w:rPr>
          <w:rFonts w:eastAsia="Arial" w:cs="Arial" w:ascii="Arial" w:hAnsi="Arial"/>
          <w:sz w:val="20"/>
          <w:szCs w:val="20"/>
        </w:rPr>
        <w:t xml:space="preserve">. Online. Český statistický úřad. 2015. Dostupné z: </w:t>
      </w:r>
      <w:hyperlink r:id="rId1">
        <w:r>
          <w:rPr>
            <w:rStyle w:val="Hyperlink"/>
            <w:rFonts w:eastAsia="Arial" w:cs="Arial" w:ascii="Arial" w:hAnsi="Arial"/>
            <w:color w:val="0563C1"/>
            <w:sz w:val="20"/>
            <w:szCs w:val="20"/>
            <w:u w:val="single"/>
          </w:rPr>
          <w:t>https://csu.gov.cz/produkty/historicky-lexikon-obci-1869-az-2015</w:t>
        </w:r>
      </w:hyperlink>
      <w:r>
        <w:rPr>
          <w:rFonts w:eastAsia="Arial" w:cs="Arial" w:ascii="Arial" w:hAnsi="Arial"/>
          <w:sz w:val="20"/>
          <w:szCs w:val="20"/>
        </w:rPr>
        <w:t>. [cit. 2025-07-21].</w:t>
      </w:r>
    </w:p>
  </w:footnote>
</w:footnote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cs-C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cs-CZ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FootnoteCharactersuser">
    <w:name w:val="Footnote Characters (user)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user">
    <w:name w:val="Endnote Characters (user)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cs-CZ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adpis">
    <w:name w:val="Nadpis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Rejstk">
    <w:name w:val="Rejstřík"/>
    <w:basedOn w:val="normal1"/>
    <w:qFormat/>
    <w:pPr>
      <w:suppressLineNumbers/>
    </w:pPr>
    <w:rPr>
      <w:rFonts w:cs="Arial"/>
    </w:rPr>
  </w:style>
  <w:style w:type="paragraph" w:styleId="Obsahtabulky">
    <w:name w:val="Obsah tabulky"/>
    <w:basedOn w:val="normal1"/>
    <w:qFormat/>
    <w:pPr>
      <w:widowControl w:val="false"/>
      <w:suppressLineNumbers/>
    </w:pPr>
    <w:rPr/>
  </w:style>
  <w:style w:type="paragraph" w:styleId="Nadpistabulky">
    <w:name w:val="Nadpis tabulky"/>
    <w:basedOn w:val="Obsahtabulky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FootnoteText">
    <w:name w:val="footnote text"/>
    <w:basedOn w:val="Normal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notes.xml.rels><?xml version="1.0" encoding="UTF-8"?>
<Relationships xmlns="http://schemas.openxmlformats.org/package/2006/relationships"><Relationship Id="rId1" Type="http://schemas.openxmlformats.org/officeDocument/2006/relationships/hyperlink" Target="https://csu.gov.cz/produkty/historicky-lexikon-obci-1869-az-2015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Bg8EOqszJ77hpWtgKhV3/t05Hbw==">CgMxLjAyD2lkLmpzaTQwenFpdXUxODIPaWQuZ3hmOXQyY2VvNmpnMg5oLmNucXR1eXRycGthejgAciExYWNBRE41QmZpRVRxMjZZRHVIWDdzazFsbHpzN3VKaV8=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LibreOffice/25.8.2.2$Linux_X86_64 LibreOffice_project/d401f2107ccab8f924a8e2df40f573aab7605b6f</Application>
  <AppVersion>15.0000</AppVersion>
  <Pages>1</Pages>
  <Words>283</Words>
  <Characters>1640</Characters>
  <CharactersWithSpaces>1865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2025-10-28T15:11:47Z</dcterms:created>
  <dc:creator/>
  <dc:description/>
  <dc:language>en-US</dc:language>
  <cp:lastModifiedBy/>
  <dcterms:modified xsi:type="dcterms:W3CDTF">2025-11-19T18:31:57Z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