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ec0593ej6gix" w:id="0"/>
    <w:bookmarkEnd w:id="0"/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Charakteristika obce </w:t>
      </w:r>
    </w:p>
    <w:p w:rsidR="00000000" w:rsidDel="00000000" w:rsidP="00000000" w:rsidRDefault="00000000" w:rsidRPr="00000000" w14:paraId="00000002">
      <w:pPr>
        <w:ind w:firstLine="709"/>
        <w:jc w:val="both"/>
        <w:rPr>
          <w:rFonts w:ascii="Times New Roman" w:cs="Times New Roman" w:eastAsia="Times New Roman" w:hAnsi="Times New Roman"/>
        </w:rPr>
      </w:pPr>
      <w:bookmarkStart w:colFirst="0" w:colLast="0" w:name="_heading=h.qed4o4y7h286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Horská obec s místní částí Repechy a s katastrem z velké části pokrytým lesy leží ve vrcholové části Drahanské vrchoviny v západní části prostějovského okresu; území je pramennou oblastí drobných toků a nadmořská výška přesahuje 600 m. V nejstarších pramenech se objevuje pod původním názvem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Bohušín,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odvozeným od osobního jména Bohuš; náležel k plumlovskému panství a jako jeho součást je připomínán už roku 1325. Tradiční venkovský ráz se zde udržel hluboko do 20. století, hlavní obživou bývalo zemědělství, tkalcovství, včelařství a práce v lesích. Za druhé světové války bylo území postiženo plánovaným vysídlením. Od roku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1960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je k Bousínu připojena osada Repechy a tvoří společný samosprávný celek.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708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Průběh vystěhování</w:t>
      </w:r>
    </w:p>
    <w:bookmarkStart w:colFirst="0" w:colLast="0" w:name="bookmark=id.mv8pp0ihr15m" w:id="2"/>
    <w:bookmarkEnd w:id="2"/>
    <w:p w:rsidR="00000000" w:rsidDel="00000000" w:rsidP="00000000" w:rsidRDefault="00000000" w:rsidRPr="00000000" w14:paraId="00000006">
      <w:pPr>
        <w:spacing w:after="140" w:before="0"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rtl w:val="0"/>
        </w:rPr>
        <w:t xml:space="preserve">Vystěhován v etapě IIIa. Specifické pro tyto obce bylo tzv. „rekvírování“ hospodářského zvířectva, strojů a nářadí na podzim 1943, předstupeň pozdějšího drancování obcí IIIb. Bousín se nacházel v těsné blízkosti střelnice, byl proto značně poškozen. Po vystěhování zde byly cílové plochy. Mnoho obyvatel se živilo přes zimu jako lesní dělníci (tzv. „na rubařskou“) a stěhovali se proto do nedalekých Hamer, kde byly zaměstnancům komandatury vyčleněny domy pro jejich rodiny.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31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Ze vzpomínek pamětníků</w:t>
      </w:r>
    </w:p>
    <w:p w:rsidR="00000000" w:rsidDel="00000000" w:rsidP="00000000" w:rsidRDefault="00000000" w:rsidRPr="00000000" w14:paraId="00000009">
      <w:pPr>
        <w:spacing w:after="200" w:line="331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Jaroslav Šrámek</w:t>
      </w:r>
    </w:p>
    <w:p w:rsidR="00000000" w:rsidDel="00000000" w:rsidP="00000000" w:rsidRDefault="00000000" w:rsidRPr="00000000" w14:paraId="0000000A">
      <w:pPr>
        <w:spacing w:after="200" w:line="331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Marie Šrámková, rozená Pořízková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31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Přehled vystěhovaných rodin a domů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15.0" w:type="dxa"/>
        <w:jc w:val="left"/>
        <w:tblInd w:w="-6.0" w:type="dxa"/>
        <w:tblLayout w:type="fixed"/>
        <w:tblLook w:val="0000"/>
      </w:tblPr>
      <w:tblGrid>
        <w:gridCol w:w="2800"/>
        <w:gridCol w:w="1497"/>
        <w:gridCol w:w="1630"/>
        <w:gridCol w:w="1183"/>
        <w:gridCol w:w="1029"/>
        <w:gridCol w:w="1076"/>
        <w:tblGridChange w:id="0">
          <w:tblGrid>
            <w:gridCol w:w="2800"/>
            <w:gridCol w:w="1497"/>
            <w:gridCol w:w="1630"/>
            <w:gridCol w:w="1183"/>
            <w:gridCol w:w="1029"/>
            <w:gridCol w:w="1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obec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etapa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okres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rodin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osob</w:t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69.0" w:type="dxa"/>
        <w:jc w:val="left"/>
        <w:tblLayout w:type="fixed"/>
        <w:tblLook w:val="0000"/>
      </w:tblPr>
      <w:tblGrid>
        <w:gridCol w:w="2714"/>
        <w:gridCol w:w="1411"/>
        <w:gridCol w:w="1545"/>
        <w:gridCol w:w="1095"/>
        <w:gridCol w:w="945"/>
        <w:gridCol w:w="959"/>
        <w:tblGridChange w:id="0">
          <w:tblGrid>
            <w:gridCol w:w="2714"/>
            <w:gridCol w:w="1411"/>
            <w:gridCol w:w="1545"/>
            <w:gridCol w:w="1095"/>
            <w:gridCol w:w="945"/>
            <w:gridCol w:w="95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Bousín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IIIa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Prostějov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62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96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348</w:t>
            </w:r>
          </w:p>
        </w:tc>
      </w:tr>
    </w:tbl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Počet obyvatel v letech 1869–2011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tbl>
      <w:tblPr>
        <w:tblStyle w:val="Table3"/>
        <w:tblW w:w="3360.0" w:type="dxa"/>
        <w:jc w:val="left"/>
        <w:tblLayout w:type="fixed"/>
        <w:tblLook w:val="0400"/>
      </w:tblPr>
      <w:tblGrid>
        <w:gridCol w:w="1120"/>
        <w:gridCol w:w="908"/>
        <w:gridCol w:w="1332"/>
        <w:tblGridChange w:id="0">
          <w:tblGrid>
            <w:gridCol w:w="1120"/>
            <w:gridCol w:w="908"/>
            <w:gridCol w:w="1332"/>
          </w:tblGrid>
        </w:tblGridChange>
      </w:tblGrid>
      <w:tr>
        <w:trPr>
          <w:cantSplit w:val="0"/>
          <w:trHeight w:val="349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ROK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POČET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obyvatel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518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541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508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550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596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596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578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286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326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275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217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169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140</w:t>
            </w:r>
          </w:p>
        </w:tc>
      </w:tr>
      <w:tr>
        <w:trPr>
          <w:cantSplit w:val="0"/>
          <w:trHeight w:val="34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132</w:t>
            </w:r>
          </w:p>
        </w:tc>
      </w:tr>
    </w:tbl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Arial"/>
  <w:font w:name="Liberation Serif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1">
      <w:pPr>
        <w:spacing w:line="259" w:lineRule="auto"/>
        <w:ind w:left="14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sz w:val="20"/>
          <w:szCs w:val="20"/>
          <w:rtl w:val="0"/>
        </w:rPr>
        <w:t xml:space="preserve">Historický lexikon obcí České republiky - 1869 – 2011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 Online. Český statistický úřad. 2015. Dostupné z: </w:t>
      </w:r>
      <w:hyperlink r:id="rId1">
        <w:r w:rsidDel="00000000" w:rsidR="00000000" w:rsidRPr="00000000">
          <w:rPr>
            <w:rFonts w:ascii="Arial" w:cs="Arial" w:eastAsia="Arial" w:hAnsi="Arial"/>
            <w:color w:val="0563c1"/>
            <w:sz w:val="20"/>
            <w:szCs w:val="20"/>
            <w:u w:val="single"/>
            <w:rtl w:val="0"/>
          </w:rPr>
          <w:t xml:space="preserve">https://csu.gov.cz/produkty/historicky-lexikon-obci-1869-az-2015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 [cit. 2025-07-21].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c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adpis">
    <w:name w:val="Nadpis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Rejstk">
    <w:name w:val="Rejstřík"/>
    <w:basedOn w:val="Normal"/>
    <w:qFormat w:val="1"/>
    <w:pPr>
      <w:suppressLineNumbers w:val="1"/>
    </w:pPr>
    <w:rPr>
      <w:rFonts w:cs="Arial"/>
    </w:rPr>
  </w:style>
  <w:style w:type="paragraph" w:styleId="Nadpisuser">
    <w:name w:val="Nadpis (user)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Rejstkuser">
    <w:name w:val="Rejstřík (user)"/>
    <w:basedOn w:val="Normal"/>
    <w:qFormat w:val="1"/>
    <w:pPr>
      <w:suppressLineNumbers w:val="1"/>
    </w:pPr>
    <w:rPr>
      <w:rFonts w:cs="Arial"/>
    </w:rPr>
  </w:style>
  <w:style w:type="paragraph" w:styleId="Obsahtabulky">
    <w:name w:val="Obsah tabulky"/>
    <w:basedOn w:val="Normal"/>
    <w:qFormat w:val="1"/>
    <w:pPr>
      <w:widowControl w:val="0"/>
      <w:suppressLineNumbers w:val="1"/>
    </w:pPr>
    <w:rPr/>
  </w:style>
  <w:style w:type="paragraph" w:styleId="Nadpistabulky">
    <w:name w:val="Nadpis tabulky"/>
    <w:basedOn w:val="Obsahtabulky"/>
    <w:qFormat w:val="1"/>
    <w:pPr>
      <w:suppressLineNumbers w:val="1"/>
      <w:jc w:val="center"/>
    </w:pPr>
    <w:rPr>
      <w:b w:val="1"/>
      <w:bCs w:val="1"/>
    </w:rPr>
  </w:style>
  <w:style w:type="paragraph" w:styleId="Obsahtabulkyuser">
    <w:name w:val="Obsah tabulky (user)"/>
    <w:basedOn w:val="Normal"/>
    <w:qFormat w:val="1"/>
    <w:pPr>
      <w:widowControl w:val="0"/>
      <w:suppressLineNumbers w:val="1"/>
    </w:pPr>
    <w:rPr/>
  </w:style>
  <w:style w:type="paragraph" w:styleId="Nadpistabulkyuser">
    <w:name w:val="Nadpis tabulky (user)"/>
    <w:basedOn w:val="Obsahtabulkyuser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28.0" w:type="dxa"/>
        <w:left w:w="115.0" w:type="dxa"/>
        <w:bottom w:w="28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28.0" w:type="dxa"/>
        <w:left w:w="115.0" w:type="dxa"/>
        <w:bottom w:w="28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notes.xml.rels><?xml version="1.0" encoding="UTF-8" standalone="yes"?><Relationships xmlns="http://schemas.openxmlformats.org/package/2006/relationships"><Relationship Id="rId1" Type="http://schemas.openxmlformats.org/officeDocument/2006/relationships/hyperlink" Target="https://csu.gov.cz/produkty/historicky-lexikon-obci-1869-az-2015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hRB4kDm+GUXMr3mLlbX4G5mxxQ==">CgMxLjAyD2lkLmVjMDU5M2VqNmdpeDIOaC5xZWQ0bzR5N2gyODYyD2lkLm12OHBwMGlocjE1bTgAciExZHQtNTdacE9weS00Z09xbEoxWmpabHQ0V3V0Ymp2V0o=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2025-10-28T15:11:47Z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