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b/>
          <w:bCs/>
        </w:rPr>
      </w:pPr>
      <w:bookmarkStart w:id="0" w:name="docs-internal-guid-9d7067e8-7fff-171c-f2"/>
      <w:bookmarkEnd w:id="0"/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Charakteristika obce </w:t>
      </w:r>
    </w:p>
    <w:p>
      <w:pPr>
        <w:pStyle w:val="BodyText"/>
        <w:rPr/>
      </w:pPr>
      <w:r>
        <w:rPr/>
        <w:t xml:space="preserve">Studnice u Vyškova (též </w:t>
      </w:r>
      <w:r>
        <w:rPr>
          <w:rStyle w:val="Strong"/>
        </w:rPr>
        <w:t>Studnitz</w:t>
      </w:r>
      <w:r>
        <w:rPr/>
        <w:t xml:space="preserve">) jsou horská, převážně zemědělská obec Drahanské vrchoviny s protáhlou návsí přecházející do řadového půdorysu; počátky osídlení sahají do 1. poloviny 12. století, první písemná zmínka je z roku 1342. K obci náleží osada </w:t>
      </w:r>
      <w:r>
        <w:rPr>
          <w:rStyle w:val="Strong"/>
        </w:rPr>
        <w:t>Odrůvky</w:t>
      </w:r>
      <w:r>
        <w:rPr/>
        <w:t xml:space="preserve"> (cca 2 km na sever) a myslivecké objekty </w:t>
      </w:r>
      <w:r>
        <w:rPr>
          <w:rStyle w:val="Strong"/>
        </w:rPr>
        <w:t>Na Kluči</w:t>
      </w:r>
      <w:r>
        <w:rPr/>
        <w:t xml:space="preserve">. Tradiční obživu zajišťovalo zemědělství a sezónní stavební práce (zedníci, tesaři), v zimě práce v lese a domácí výroba sítěk; místní hospodářské zázemí doplňovala obecní cihelna, menší pila a malovýroba likérů. Při kostele sv. Jiljí byla roku 1731 zřízena expozitura z Pustiměře, od roku 1784 zde působila duchovní lokální správa; roku 1846 je ve Studnicích doložena škola a hostinec </w:t>
      </w:r>
      <w:r>
        <w:rPr>
          <w:rStyle w:val="Strong"/>
        </w:rPr>
        <w:t>emfyteuticky prodaný</w:t>
      </w:r>
      <w:r>
        <w:rPr/>
        <w:t xml:space="preserve"> (převedený do dědičného nájmu s povinností roční činže a zvelebování). Dnes si Studnice udržují klidný venkovský ráz i vazby na okolní lesy a pole a fungují jako přirozené lokální středisko s občanskou vybaveností pro širší okolí.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Průběh vystěhování</w:t>
      </w:r>
    </w:p>
    <w:p>
      <w:pPr>
        <w:pStyle w:val="Normal"/>
        <w:bidi w:val="0"/>
        <w:spacing w:lineRule="auto" w:line="276" w:before="0" w:after="14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1" w:name="docs-internal-guid-aeb0ca24-7fff-9378-1a"/>
      <w:bookmarkEnd w:id="1"/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II. „spěšná“ etapa; spolu s Odrůvkami a Hartmanicemi se stala cílovou plochou střelnice na Ferdinandsku. Zajímavost: po odsunu odešel do Studnic i vyučující z Rychtářova, který v dopise líčí „nezapomenutelné březnové dny“ roku 1941. Ve Studnicích se nacházela i rodina Aloise Musila, která zde vlastnila likérku a sodovkárnu. Co se stalo následně s rodinou a likérkou, není doposud známo. Obec byla značně poničena.</w:t>
      </w:r>
    </w:p>
    <w:p>
      <w:pPr>
        <w:pStyle w:val="Normal"/>
        <w:bidi w:val="0"/>
        <w:spacing w:lineRule="auto" w:line="276" w:before="0" w:after="14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Normal"/>
        <w:bidi w:val="0"/>
        <w:spacing w:lineRule="auto" w:line="276" w:before="0" w:after="140"/>
        <w:jc w:val="start"/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Ze vzpomínek pamětníků</w:t>
      </w:r>
    </w:p>
    <w:p>
      <w:pPr>
        <w:pStyle w:val="Normal"/>
        <w:bidi w:val="0"/>
        <w:spacing w:lineRule="auto" w:line="276" w:before="0" w:after="14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Josef Konečný</w:t>
      </w:r>
    </w:p>
    <w:p>
      <w:pPr>
        <w:pStyle w:val="Normal"/>
        <w:bidi w:val="0"/>
        <w:spacing w:lineRule="auto" w:line="276" w:before="0" w:after="140"/>
        <w:jc w:val="start"/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r>
    </w:p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b/>
          <w:bCs/>
        </w:rPr>
      </w:pPr>
      <w:r>
        <w:rPr>
          <w:rFonts w:ascii="Times New Roman;serif" w:hAnsi="Times New Roman;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Přehled vystěhovaných rodin a domů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16" w:type="dxa"/>
        <w:jc w:val="start"/>
        <w:tblInd w:w="-6" w:type="dxa"/>
        <w:tblLayout w:type="fixed"/>
        <w:tblCellMar>
          <w:top w:w="28" w:type="dxa"/>
          <w:start w:w="40" w:type="dxa"/>
          <w:bottom w:w="28" w:type="dxa"/>
          <w:end w:w="40" w:type="dxa"/>
        </w:tblCellMar>
      </w:tblPr>
      <w:tblGrid>
        <w:gridCol w:w="2800"/>
        <w:gridCol w:w="1497"/>
        <w:gridCol w:w="1630"/>
        <w:gridCol w:w="1182"/>
        <w:gridCol w:w="1030"/>
        <w:gridCol w:w="1076"/>
      </w:tblGrid>
      <w:tr>
        <w:trPr/>
        <w:tc>
          <w:tcPr>
            <w:tcW w:w="2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obec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etapa</w:t>
            </w:r>
          </w:p>
        </w:tc>
        <w:tc>
          <w:tcPr>
            <w:tcW w:w="1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okres</w:t>
            </w:r>
          </w:p>
        </w:tc>
        <w:tc>
          <w:tcPr>
            <w:tcW w:w="11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domů</w:t>
            </w:r>
          </w:p>
        </w:tc>
        <w:tc>
          <w:tcPr>
            <w:tcW w:w="10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rodin</w:t>
            </w:r>
          </w:p>
        </w:tc>
        <w:tc>
          <w:tcPr>
            <w:tcW w:w="10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Obsahtabulkyuser"/>
              <w:bidi w:val="0"/>
              <w:spacing w:lineRule="auto" w:line="331" w:before="0" w:after="0"/>
              <w:ind w:hanging="0" w:start="0" w:end="0"/>
              <w:jc w:val="center"/>
              <w:rPr>
                <w:rFonts w:ascii="Calibri;sans-serif" w:hAnsi="Calibri;sans-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8"/>
                <w:u w:val="none"/>
                <w:effect w:val="none"/>
                <w:shd w:fill="auto" w:val="clear"/>
              </w:rPr>
              <w:t>osob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8670" w:type="dxa"/>
        <w:jc w:val="start"/>
        <w:tblInd w:w="0" w:type="dxa"/>
        <w:tblLayout w:type="fixed"/>
        <w:tblCellMar>
          <w:top w:w="28" w:type="dxa"/>
          <w:start w:w="45" w:type="dxa"/>
          <w:bottom w:w="28" w:type="dxa"/>
          <w:end w:w="45" w:type="dxa"/>
        </w:tblCellMar>
      </w:tblPr>
      <w:tblGrid>
        <w:gridCol w:w="2715"/>
        <w:gridCol w:w="1410"/>
        <w:gridCol w:w="1545"/>
        <w:gridCol w:w="1095"/>
        <w:gridCol w:w="945"/>
        <w:gridCol w:w="960"/>
      </w:tblGrid>
      <w:tr>
        <w:trPr/>
        <w:tc>
          <w:tcPr>
            <w:tcW w:w="27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C4EB7" w:val="clear"/>
            <w:vAlign w:val="center"/>
          </w:tcPr>
          <w:p>
            <w:pPr>
              <w:pStyle w:val="Obsahtabulky"/>
              <w:ind w:hanging="0" w:start="0" w:end="0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Studnice</w:t>
            </w:r>
          </w:p>
        </w:tc>
        <w:tc>
          <w:tcPr>
            <w:tcW w:w="141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EC4EB7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II.</w:t>
            </w:r>
          </w:p>
        </w:tc>
        <w:tc>
          <w:tcPr>
            <w:tcW w:w="154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EC4EB7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Vyškov</w:t>
            </w:r>
          </w:p>
        </w:tc>
        <w:tc>
          <w:tcPr>
            <w:tcW w:w="10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EC4EB7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196</w:t>
            </w:r>
          </w:p>
        </w:tc>
        <w:tc>
          <w:tcPr>
            <w:tcW w:w="94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EC4EB7" w:val="clear"/>
            <w:tcMar>
              <w:start w:w="0" w:type="dxa"/>
            </w:tcMar>
            <w:vAlign w:val="center"/>
          </w:tcPr>
          <w:p>
            <w:pPr>
              <w:pStyle w:val="Obsahtabulky"/>
              <w:ind w:hanging="0" w:start="0" w:end="0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248</w:t>
            </w:r>
          </w:p>
        </w:tc>
        <w:tc>
          <w:tcPr>
            <w:tcW w:w="960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  <w:shd w:fill="EC4EB7" w:val="clear"/>
            <w:tcMar>
              <w:start w:w="0" w:type="dxa"/>
            </w:tcMar>
            <w:vAlign w:val="center"/>
          </w:tcPr>
          <w:p>
            <w:pPr>
              <w:pStyle w:val="Obsahtabulky"/>
              <w:jc w:val="center"/>
              <w:rPr>
                <w:rFonts w:ascii="Times New Roman" w:hAnsi="Times New Roman"/>
                <w:b w:val="false"/>
                <w:sz w:val="28"/>
              </w:rPr>
            </w:pPr>
            <w:r>
              <w:rPr>
                <w:rFonts w:ascii="Times New Roman" w:hAnsi="Times New Roman"/>
                <w:b w:val="false"/>
                <w:sz w:val="28"/>
              </w:rPr>
              <w:t>835</w:t>
            </w:r>
          </w:p>
        </w:tc>
      </w:tr>
    </w:tbl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spacing w:lineRule="auto" w:line="288" w:before="0" w:after="0"/>
        <w:ind w:hanging="0" w:start="0" w:end="0"/>
        <w:jc w:val="both"/>
        <w:rPr/>
      </w:pPr>
      <w:r>
        <w:rPr>
          <w:rFonts w:ascii="Times New Roman;serif" w:hAnsi="Times New Roman;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Počet obyvatel v letech 1869–2011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</w:t>
      </w:r>
    </w:p>
    <w:tbl>
      <w:tblPr>
        <w:tblW w:w="3693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70" w:type="dxa"/>
        </w:tblCellMar>
      </w:tblPr>
      <w:tblGrid>
        <w:gridCol w:w="1226"/>
        <w:gridCol w:w="1001"/>
        <w:gridCol w:w="1466"/>
      </w:tblGrid>
      <w:tr>
        <w:trPr/>
        <w:tc>
          <w:tcPr>
            <w:tcW w:w="1226" w:type="dxa"/>
            <w:vMerge w:val="restart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ROK</w:t>
            </w:r>
          </w:p>
        </w:tc>
        <w:tc>
          <w:tcPr>
            <w:tcW w:w="24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POČET</w:t>
            </w:r>
          </w:p>
        </w:tc>
      </w:tr>
      <w:tr>
        <w:trPr/>
        <w:tc>
          <w:tcPr>
            <w:tcW w:w="1226" w:type="dxa"/>
            <w:vMerge w:val="continue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Obsahtabulky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domů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obyvatel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1869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103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811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1880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128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842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1890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144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886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1900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139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888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1910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153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937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1921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158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966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1930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175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811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1950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187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590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1961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222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720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1970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177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702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1980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160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583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1991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191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501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2001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188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450</w:t>
            </w:r>
          </w:p>
        </w:tc>
      </w:tr>
      <w:tr>
        <w:trPr/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2011</w:t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194</w:t>
            </w:r>
          </w:p>
        </w:tc>
        <w:tc>
          <w:tcPr>
            <w:tcW w:w="14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28" w:type="dxa"/>
              <w:start w:w="70" w:type="dxa"/>
            </w:tcMar>
            <w:vAlign w:val="center"/>
          </w:tcPr>
          <w:p>
            <w:pPr>
              <w:pStyle w:val="Obsahtabulky"/>
              <w:widowControl/>
              <w:bidi w:val="0"/>
              <w:spacing w:lineRule="auto" w:line="288" w:before="0" w:after="0"/>
              <w:ind w:hanging="0" w:start="0" w:end="0"/>
              <w:jc w:val="center"/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Arial;sans-serif" w:hAnsi="Arial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417</w:t>
            </w:r>
          </w:p>
        </w:tc>
      </w:tr>
    </w:tbl>
    <w:p>
      <w:pPr>
        <w:pStyle w:val="BodyText"/>
        <w:bidi w:val="0"/>
        <w:spacing w:lineRule="auto" w:line="288" w:before="0" w:after="120"/>
        <w:ind w:hanging="0" w:start="0" w:end="0"/>
        <w:jc w:val="both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imes New Roman">
    <w:altName w:val="serif"/>
    <w:charset w:val="ee" w:characterSet="windows-1250"/>
    <w:family w:val="roman"/>
    <w:pitch w:val="variable"/>
  </w:font>
  <w:font w:name="Times New Roman">
    <w:altName w:val="serif"/>
    <w:charset w:val="ee" w:characterSet="windows-1250"/>
    <w:family w:val="auto"/>
    <w:pitch w:val="default"/>
  </w:font>
  <w:font w:name="Calibri">
    <w:altName w:val="sans-serif"/>
    <w:charset w:val="ee" w:characterSet="windows-1250"/>
    <w:family w:val="roman"/>
    <w:pitch w:val="variable"/>
  </w:font>
  <w:font w:name="Times New Roman">
    <w:charset w:val="ee" w:characterSet="windows-1250"/>
    <w:family w:val="auto"/>
    <w:pitch w:val="default"/>
  </w:font>
  <w:font w:name="Arial">
    <w:altName w:val="sans-serif"/>
    <w:charset w:val="ee" w:characterSet="windows-1250"/>
    <w:family w:val="auto"/>
    <w:pitch w:val="default"/>
  </w:font>
</w:fonts>
</file>

<file path=word/settings.xml><?xml version="1.0" encoding="utf-8"?>
<w:settings xmlns:w="http://schemas.openxmlformats.org/wordprocessingml/2006/main">
  <w:zoom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Heading6">
    <w:name w:val="heading 6"/>
    <w:basedOn w:val="Nadpis"/>
    <w:next w:val="BodyText"/>
    <w:qFormat/>
    <w:pPr>
      <w:spacing w:before="60" w:after="60"/>
      <w:outlineLvl w:val="5"/>
    </w:pPr>
    <w:rPr>
      <w:rFonts w:ascii="Liberation Serif" w:hAnsi="Liberation Serif" w:eastAsia="NSimSun" w:cs="Arial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  <w:style w:type="paragraph" w:styleId="Nadpisuser">
    <w:name w:val="Nadpis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user">
    <w:name w:val="Rejstřík (user)"/>
    <w:basedOn w:val="Normal"/>
    <w:qFormat/>
    <w:pPr>
      <w:suppressLineNumbers/>
    </w:pPr>
    <w:rPr>
      <w:rFonts w:cs="Arial"/>
    </w:rPr>
  </w:style>
  <w:style w:type="paragraph" w:styleId="Obsahtabulkyuser">
    <w:name w:val="Obsah tabulky (user)"/>
    <w:basedOn w:val="Normal"/>
    <w:qFormat/>
    <w:pPr>
      <w:widowControl w:val="false"/>
      <w:suppressLineNumbers/>
    </w:pPr>
    <w:rPr/>
  </w:style>
  <w:style w:type="paragraph" w:styleId="Nadpistabulkyuser">
    <w:name w:val="Nadpis tabulky (user)"/>
    <w:basedOn w:val="Obsahtabulkyuser"/>
    <w:qFormat/>
    <w:pPr>
      <w:suppressLineNumbers/>
      <w:jc w:val="center"/>
    </w:pPr>
    <w:rPr>
      <w:b/>
      <w:bCs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2</Pages>
  <Words>286</Words>
  <Characters>1498</Characters>
  <CharactersWithSpaces>1719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cs-CZ</dc:language>
  <cp:lastModifiedBy/>
  <dcterms:modified xsi:type="dcterms:W3CDTF">2025-11-15T07:23:33Z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