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E78C" w14:textId="10B5D38F" w:rsidR="00AC29B0" w:rsidRPr="004E65B2" w:rsidRDefault="004E65B2" w:rsidP="004E65B2">
      <w:pPr>
        <w:jc w:val="both"/>
        <w:rPr>
          <w:rFonts w:ascii="Times New Roman" w:eastAsia="EB Garamond" w:hAnsi="Times New Roman" w:cs="Times New Roman"/>
          <w:lang w:val="en-US"/>
        </w:rPr>
      </w:pPr>
      <w:r w:rsidRPr="004E65B2">
        <w:rPr>
          <w:rFonts w:ascii="Times New Roman" w:hAnsi="Times New Roman" w:cs="Times New Roman"/>
          <w:b/>
          <w:bCs/>
          <w:lang w:val="en-US"/>
        </w:rPr>
        <w:t>Table S1</w:t>
      </w:r>
      <w:r w:rsidRPr="004E65B2">
        <w:rPr>
          <w:rFonts w:ascii="Times New Roman" w:hAnsi="Times New Roman" w:cs="Times New Roman"/>
          <w:lang w:val="en-US"/>
        </w:rPr>
        <w:t>. Morphological measures</w:t>
      </w:r>
      <w:r w:rsidR="00AA6E34">
        <w:rPr>
          <w:rFonts w:ascii="Times New Roman" w:hAnsi="Times New Roman" w:cs="Times New Roman"/>
          <w:lang w:val="en-US"/>
        </w:rPr>
        <w:t xml:space="preserve"> (in millimeters)</w:t>
      </w:r>
      <w:r w:rsidRPr="004E65B2">
        <w:rPr>
          <w:rFonts w:ascii="Times New Roman" w:hAnsi="Times New Roman" w:cs="Times New Roman"/>
          <w:lang w:val="en-US"/>
        </w:rPr>
        <w:t xml:space="preserve">, geographic and habitat data from 697 specimens of the 30 species present in the phylogeny of </w:t>
      </w:r>
      <w:proofErr w:type="spellStart"/>
      <w:r w:rsidRPr="004E65B2">
        <w:rPr>
          <w:rFonts w:ascii="Times New Roman" w:hAnsi="Times New Roman" w:cs="Times New Roman"/>
          <w:i/>
          <w:iCs/>
          <w:lang w:val="en-US"/>
        </w:rPr>
        <w:t>Pristurus</w:t>
      </w:r>
      <w:proofErr w:type="spellEnd"/>
      <w:r w:rsidRPr="004E65B2">
        <w:rPr>
          <w:rFonts w:ascii="Times New Roman" w:hAnsi="Times New Roman" w:cs="Times New Roman"/>
          <w:lang w:val="en-US"/>
        </w:rPr>
        <w:t xml:space="preserve">. Additionally, six specimens from two species without genetic material were taken: </w:t>
      </w:r>
      <w:r w:rsidRPr="004E65B2">
        <w:rPr>
          <w:rFonts w:ascii="Times New Roman" w:hAnsi="Times New Roman" w:cs="Times New Roman"/>
          <w:i/>
          <w:iCs/>
          <w:lang w:val="en-US"/>
        </w:rPr>
        <w:t xml:space="preserve">P. </w:t>
      </w:r>
      <w:proofErr w:type="spellStart"/>
      <w:r w:rsidRPr="004E65B2">
        <w:rPr>
          <w:rFonts w:ascii="Times New Roman" w:hAnsi="Times New Roman" w:cs="Times New Roman"/>
          <w:i/>
          <w:iCs/>
          <w:lang w:val="en-US"/>
        </w:rPr>
        <w:t>saada</w:t>
      </w:r>
      <w:proofErr w:type="spellEnd"/>
      <w:r w:rsidRPr="004E65B2">
        <w:rPr>
          <w:rFonts w:ascii="Times New Roman" w:hAnsi="Times New Roman" w:cs="Times New Roman"/>
          <w:lang w:val="en-US"/>
        </w:rPr>
        <w:t xml:space="preserve"> and </w:t>
      </w:r>
      <w:r w:rsidRPr="004E65B2">
        <w:rPr>
          <w:rFonts w:ascii="Times New Roman" w:hAnsi="Times New Roman" w:cs="Times New Roman"/>
          <w:i/>
          <w:iCs/>
          <w:lang w:val="en-US"/>
        </w:rPr>
        <w:t xml:space="preserve">P. </w:t>
      </w:r>
      <w:proofErr w:type="spellStart"/>
      <w:r w:rsidRPr="004E65B2">
        <w:rPr>
          <w:rFonts w:ascii="Times New Roman" w:hAnsi="Times New Roman" w:cs="Times New Roman"/>
          <w:i/>
          <w:iCs/>
          <w:lang w:val="en-US"/>
        </w:rPr>
        <w:t>simonettai</w:t>
      </w:r>
      <w:proofErr w:type="spellEnd"/>
      <w:r w:rsidRPr="004E65B2">
        <w:rPr>
          <w:rFonts w:ascii="Times New Roman" w:hAnsi="Times New Roman" w:cs="Times New Roman"/>
          <w:lang w:val="en-US"/>
        </w:rPr>
        <w:t xml:space="preserve">.  </w:t>
      </w:r>
      <w:r w:rsidRPr="004E65B2">
        <w:rPr>
          <w:rFonts w:ascii="Times New Roman" w:eastAsia="EB Garamond" w:hAnsi="Times New Roman" w:cs="Times New Roman"/>
          <w:lang w:val="en-US"/>
        </w:rPr>
        <w:t>snout-vent length (SVL; distance from the tip of the snout to the cloaca), trunk length (</w:t>
      </w:r>
      <w:proofErr w:type="spellStart"/>
      <w:r w:rsidRPr="004E65B2">
        <w:rPr>
          <w:rFonts w:ascii="Times New Roman" w:eastAsia="EB Garamond" w:hAnsi="Times New Roman" w:cs="Times New Roman"/>
          <w:lang w:val="en-US"/>
        </w:rPr>
        <w:t>TrL</w:t>
      </w:r>
      <w:proofErr w:type="spellEnd"/>
      <w:r w:rsidRPr="004E65B2">
        <w:rPr>
          <w:rFonts w:ascii="Times New Roman" w:eastAsia="EB Garamond" w:hAnsi="Times New Roman" w:cs="Times New Roman"/>
          <w:lang w:val="en-US"/>
        </w:rPr>
        <w:t>; distance between the fore and hind limb insertion points), head length (HL; taken axially from tip of the snout to the anterior ear border), head width (HW; taken at anterior ear border), head height (HH; taken laterally at anterior ear border), humerus length (</w:t>
      </w:r>
      <w:proofErr w:type="spellStart"/>
      <w:r w:rsidRPr="004E65B2">
        <w:rPr>
          <w:rFonts w:ascii="Times New Roman" w:eastAsia="EB Garamond" w:hAnsi="Times New Roman" w:cs="Times New Roman"/>
          <w:lang w:val="en-US"/>
        </w:rPr>
        <w:t>Lhu</w:t>
      </w:r>
      <w:proofErr w:type="spellEnd"/>
      <w:r w:rsidRPr="004E65B2">
        <w:rPr>
          <w:rFonts w:ascii="Times New Roman" w:eastAsia="EB Garamond" w:hAnsi="Times New Roman" w:cs="Times New Roman"/>
          <w:lang w:val="en-US"/>
        </w:rPr>
        <w:t>; from elbow to the insertion of the forelimb), ulna length (</w:t>
      </w:r>
      <w:proofErr w:type="spellStart"/>
      <w:r w:rsidRPr="004E65B2">
        <w:rPr>
          <w:rFonts w:ascii="Times New Roman" w:eastAsia="EB Garamond" w:hAnsi="Times New Roman" w:cs="Times New Roman"/>
          <w:lang w:val="en-US"/>
        </w:rPr>
        <w:t>Lun</w:t>
      </w:r>
      <w:proofErr w:type="spellEnd"/>
      <w:r w:rsidRPr="004E65B2">
        <w:rPr>
          <w:rFonts w:ascii="Times New Roman" w:eastAsia="EB Garamond" w:hAnsi="Times New Roman" w:cs="Times New Roman"/>
          <w:lang w:val="en-US"/>
        </w:rPr>
        <w:t>; from wrist to elbow), femur length (</w:t>
      </w:r>
      <w:proofErr w:type="spellStart"/>
      <w:r w:rsidRPr="004E65B2">
        <w:rPr>
          <w:rFonts w:ascii="Times New Roman" w:eastAsia="EB Garamond" w:hAnsi="Times New Roman" w:cs="Times New Roman"/>
          <w:lang w:val="en-US"/>
        </w:rPr>
        <w:t>Lfe</w:t>
      </w:r>
      <w:proofErr w:type="spellEnd"/>
      <w:r w:rsidRPr="004E65B2">
        <w:rPr>
          <w:rFonts w:ascii="Times New Roman" w:eastAsia="EB Garamond" w:hAnsi="Times New Roman" w:cs="Times New Roman"/>
          <w:lang w:val="en-US"/>
        </w:rPr>
        <w:t>; from knee to the insertion of the hindlimb) and tibia length (</w:t>
      </w:r>
      <w:proofErr w:type="spellStart"/>
      <w:r w:rsidRPr="004E65B2">
        <w:rPr>
          <w:rFonts w:ascii="Times New Roman" w:eastAsia="EB Garamond" w:hAnsi="Times New Roman" w:cs="Times New Roman"/>
          <w:lang w:val="en-US"/>
        </w:rPr>
        <w:t>Ltb</w:t>
      </w:r>
      <w:proofErr w:type="spellEnd"/>
      <w:r w:rsidRPr="004E65B2">
        <w:rPr>
          <w:rFonts w:ascii="Times New Roman" w:eastAsia="EB Garamond" w:hAnsi="Times New Roman" w:cs="Times New Roman"/>
          <w:lang w:val="en-US"/>
        </w:rPr>
        <w:t>; from ankle to knee).</w:t>
      </w:r>
    </w:p>
    <w:p w14:paraId="550D1B43" w14:textId="2466BA2B" w:rsidR="004E65B2" w:rsidRPr="004E65B2" w:rsidRDefault="004E65B2" w:rsidP="004E65B2">
      <w:pPr>
        <w:jc w:val="both"/>
        <w:rPr>
          <w:rFonts w:ascii="Times New Roman" w:eastAsia="EB Garamond" w:hAnsi="Times New Roman" w:cs="Times New Roman"/>
          <w:lang w:val="en-US"/>
        </w:rPr>
      </w:pPr>
    </w:p>
    <w:p w14:paraId="1400C45D" w14:textId="26C10602" w:rsidR="004E65B2" w:rsidRDefault="004E65B2" w:rsidP="004E65B2">
      <w:pPr>
        <w:jc w:val="both"/>
        <w:rPr>
          <w:rFonts w:ascii="Times New Roman" w:eastAsia="EB Garamond" w:hAnsi="Times New Roman" w:cs="Times New Roman"/>
          <w:lang w:val="en-US"/>
        </w:rPr>
      </w:pPr>
      <w:r w:rsidRPr="004E65B2">
        <w:rPr>
          <w:rFonts w:ascii="Times New Roman" w:eastAsia="EB Garamond" w:hAnsi="Times New Roman" w:cs="Times New Roman"/>
          <w:b/>
          <w:bCs/>
          <w:lang w:val="en-US"/>
        </w:rPr>
        <w:t>Table S2</w:t>
      </w:r>
      <w:r w:rsidRPr="004E65B2">
        <w:rPr>
          <w:rFonts w:ascii="Times New Roman" w:eastAsia="EB Garamond" w:hAnsi="Times New Roman" w:cs="Times New Roman"/>
          <w:lang w:val="en-US"/>
        </w:rPr>
        <w:t xml:space="preserve">. Results of the phylogenetic PCA performed with species data. The table shows the loadings of each variable in each principal component, and the bars indicate the variance explained by each component. </w:t>
      </w:r>
    </w:p>
    <w:p w14:paraId="561048BA" w14:textId="49C2E4C8" w:rsidR="00816D4B" w:rsidRDefault="00816D4B" w:rsidP="004E65B2">
      <w:pPr>
        <w:jc w:val="both"/>
        <w:rPr>
          <w:rFonts w:ascii="Times New Roman" w:eastAsia="EB Garamond" w:hAnsi="Times New Roman" w:cs="Times New Roman"/>
          <w:lang w:val="en-US"/>
        </w:rPr>
      </w:pPr>
    </w:p>
    <w:p w14:paraId="54CFA4FF" w14:textId="0E590D28" w:rsidR="00816D4B" w:rsidRPr="00816D4B" w:rsidRDefault="00816D4B" w:rsidP="00816D4B">
      <w:pPr>
        <w:jc w:val="both"/>
        <w:rPr>
          <w:rFonts w:ascii="Times New Roman" w:eastAsia="EB Garamond" w:hAnsi="Times New Roman" w:cs="Times New Roman"/>
          <w:lang w:val="en-US"/>
        </w:rPr>
      </w:pPr>
      <w:r w:rsidRPr="00816D4B">
        <w:rPr>
          <w:rFonts w:ascii="Times New Roman" w:eastAsia="EB Garamond" w:hAnsi="Times New Roman" w:cs="Times New Roman"/>
          <w:b/>
          <w:bCs/>
          <w:lang w:val="en-US"/>
        </w:rPr>
        <w:t>Table S3</w:t>
      </w:r>
      <w:r w:rsidRPr="00816D4B">
        <w:rPr>
          <w:rFonts w:ascii="Times New Roman" w:eastAsia="EB Garamond" w:hAnsi="Times New Roman" w:cs="Times New Roman"/>
          <w:lang w:val="en-US"/>
        </w:rPr>
        <w:t>. Results of the PCA performed with specimen shape data. The table shows the loadings of each variable in</w:t>
      </w:r>
      <w:r w:rsidRPr="00816D4B">
        <w:rPr>
          <w:rFonts w:ascii="Times New Roman" w:eastAsia="EB Garamond" w:hAnsi="Times New Roman" w:cs="Times New Roman"/>
          <w:lang w:val="en-US"/>
        </w:rPr>
        <w:t xml:space="preserve"> </w:t>
      </w:r>
      <w:r w:rsidRPr="00816D4B">
        <w:rPr>
          <w:rFonts w:ascii="Times New Roman" w:eastAsia="EB Garamond" w:hAnsi="Times New Roman" w:cs="Times New Roman"/>
          <w:lang w:val="en-US"/>
        </w:rPr>
        <w:t>each principal component, and the bars indicate the variance explained by each component.</w:t>
      </w:r>
    </w:p>
    <w:p w14:paraId="095A719B" w14:textId="6DC4F204" w:rsidR="00816D4B" w:rsidRPr="00816D4B" w:rsidRDefault="00816D4B" w:rsidP="00816D4B">
      <w:pPr>
        <w:jc w:val="both"/>
        <w:rPr>
          <w:rFonts w:ascii="Times New Roman" w:eastAsia="EB Garamond" w:hAnsi="Times New Roman" w:cs="Times New Roman"/>
          <w:lang w:val="en-US"/>
        </w:rPr>
      </w:pPr>
    </w:p>
    <w:p w14:paraId="75750F57" w14:textId="7D55FEF2" w:rsidR="004E65B2" w:rsidRPr="004E65B2" w:rsidRDefault="00816D4B" w:rsidP="004E65B2">
      <w:pPr>
        <w:jc w:val="both"/>
        <w:rPr>
          <w:rFonts w:ascii="Times New Roman" w:hAnsi="Times New Roman" w:cs="Times New Roman"/>
          <w:lang w:val="en-US"/>
        </w:rPr>
      </w:pPr>
      <w:r w:rsidRPr="00816D4B">
        <w:rPr>
          <w:rFonts w:ascii="Times New Roman" w:eastAsia="EB Garamond" w:hAnsi="Times New Roman" w:cs="Times New Roman"/>
          <w:b/>
          <w:bCs/>
          <w:lang w:val="en-US"/>
        </w:rPr>
        <w:t>Table S4</w:t>
      </w:r>
      <w:r w:rsidRPr="00816D4B">
        <w:rPr>
          <w:rFonts w:ascii="Times New Roman" w:eastAsia="EB Garamond" w:hAnsi="Times New Roman" w:cs="Times New Roman"/>
          <w:lang w:val="en-US"/>
        </w:rPr>
        <w:t>. Results from the morphological disparity analys</w:t>
      </w:r>
      <w:r>
        <w:rPr>
          <w:rFonts w:ascii="Times New Roman" w:eastAsia="EB Garamond" w:hAnsi="Times New Roman" w:cs="Times New Roman"/>
          <w:lang w:val="en-US"/>
        </w:rPr>
        <w:t xml:space="preserve">es after removing the species with less than five specimens. The p-values were only calculated when the disparity ratios were higher than </w:t>
      </w:r>
      <w:proofErr w:type="gramStart"/>
      <w:r>
        <w:rPr>
          <w:rFonts w:ascii="Times New Roman" w:eastAsia="EB Garamond" w:hAnsi="Times New Roman" w:cs="Times New Roman"/>
          <w:lang w:val="en-US"/>
        </w:rPr>
        <w:t>1, since</w:t>
      </w:r>
      <w:proofErr w:type="gramEnd"/>
      <w:r>
        <w:rPr>
          <w:rFonts w:ascii="Times New Roman" w:eastAsia="EB Garamond" w:hAnsi="Times New Roman" w:cs="Times New Roman"/>
          <w:lang w:val="en-US"/>
        </w:rPr>
        <w:t xml:space="preserve"> we explicitly hypothesized higher disparity in island species (island colonization as a primary driver of morphological disparity) and/or higher disparity in ground habitats (ecological specialization as a primary driver of disparity).</w:t>
      </w:r>
    </w:p>
    <w:sectPr w:rsidR="004E65B2" w:rsidRPr="004E65B2"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panose1 w:val="020B0604020202020204"/>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B2"/>
    <w:rsid w:val="00387676"/>
    <w:rsid w:val="004E65B2"/>
    <w:rsid w:val="00816D4B"/>
    <w:rsid w:val="00AA6E34"/>
    <w:rsid w:val="00AC29B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C41B5C"/>
  <w14:defaultImageDpi w14:val="32767"/>
  <w15:chartTrackingRefBased/>
  <w15:docId w15:val="{8DDA9C11-F6B7-CA45-B9BB-226E66B8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1420</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3</cp:revision>
  <dcterms:created xsi:type="dcterms:W3CDTF">2021-07-13T08:56:00Z</dcterms:created>
  <dcterms:modified xsi:type="dcterms:W3CDTF">2021-10-06T16:17:00Z</dcterms:modified>
</cp:coreProperties>
</file>