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C9F" w14:textId="77777777" w:rsidR="009D252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12F1F82D" w14:textId="77777777" w:rsidR="009D252A" w:rsidRDefault="009D252A">
      <w:pPr>
        <w:jc w:val="both"/>
        <w:rPr>
          <w:rFonts w:ascii="Times New Roman" w:eastAsia="Times New Roman" w:hAnsi="Times New Roman" w:cs="Times New Roman"/>
        </w:rPr>
      </w:pPr>
    </w:p>
    <w:p w14:paraId="67CA85ED" w14:textId="42540CB8" w:rsidR="009D252A" w:rsidRPr="00C86CDF" w:rsidRDefault="00000000">
      <w:pPr>
        <w:jc w:val="center"/>
        <w:rPr>
          <w:rFonts w:ascii="Times New Roman" w:eastAsia="Times New Roman" w:hAnsi="Times New Roman" w:cs="Times New Roman"/>
          <w:vertAlign w:val="superscript"/>
          <w:lang w:val="es-ES"/>
        </w:rPr>
      </w:pPr>
      <w:r w:rsidRPr="00C86CDF">
        <w:rPr>
          <w:rFonts w:ascii="Times New Roman" w:eastAsia="Times New Roman" w:hAnsi="Times New Roman" w:cs="Times New Roman"/>
          <w:lang w:val="es-ES"/>
        </w:rPr>
        <w:t>Héctor Tejero-Cicuéndez</w:t>
      </w:r>
      <w:r w:rsidRPr="00C86CDF">
        <w:rPr>
          <w:rFonts w:ascii="Times New Roman" w:eastAsia="Times New Roman" w:hAnsi="Times New Roman" w:cs="Times New Roman"/>
          <w:vertAlign w:val="superscript"/>
          <w:lang w:val="es-ES"/>
        </w:rPr>
        <w:t>1</w:t>
      </w:r>
      <w:r w:rsidR="007019A0">
        <w:rPr>
          <w:rFonts w:ascii="Times New Roman" w:eastAsia="Times New Roman" w:hAnsi="Times New Roman" w:cs="Times New Roman"/>
          <w:vertAlign w:val="superscript"/>
          <w:lang w:val="es-ES"/>
        </w:rPr>
        <w:t>*</w:t>
      </w:r>
      <w:r w:rsidRPr="00C86CDF">
        <w:rPr>
          <w:rFonts w:ascii="Times New Roman" w:eastAsia="Times New Roman" w:hAnsi="Times New Roman" w:cs="Times New Roman"/>
          <w:lang w:val="es-ES"/>
        </w:rPr>
        <w:t>, Iris Menéndez</w:t>
      </w:r>
      <w:r w:rsidRPr="00C86CDF">
        <w:rPr>
          <w:rFonts w:ascii="Times New Roman" w:eastAsia="Times New Roman" w:hAnsi="Times New Roman" w:cs="Times New Roman"/>
          <w:vertAlign w:val="superscript"/>
          <w:lang w:val="es-ES"/>
        </w:rPr>
        <w:t>2</w:t>
      </w:r>
      <w:r w:rsidRPr="00C86CDF">
        <w:rPr>
          <w:rFonts w:ascii="Times New Roman" w:eastAsia="Times New Roman" w:hAnsi="Times New Roman" w:cs="Times New Roman"/>
          <w:lang w:val="es-ES"/>
        </w:rPr>
        <w:t>, Elizabeth M. Steell</w:t>
      </w:r>
      <w:r w:rsidRPr="00C86CDF">
        <w:rPr>
          <w:rFonts w:ascii="Times New Roman" w:eastAsia="Times New Roman" w:hAnsi="Times New Roman" w:cs="Times New Roman"/>
          <w:vertAlign w:val="superscript"/>
          <w:lang w:val="es-ES"/>
        </w:rPr>
        <w:t>3,4</w:t>
      </w:r>
      <w:r w:rsidRPr="00C86CDF">
        <w:rPr>
          <w:rFonts w:ascii="Times New Roman" w:eastAsia="Times New Roman" w:hAnsi="Times New Roman" w:cs="Times New Roman"/>
          <w:lang w:val="es-ES"/>
        </w:rPr>
        <w:t>, Guillermo Navalón</w:t>
      </w:r>
      <w:r w:rsidRPr="00C86CDF">
        <w:rPr>
          <w:rFonts w:ascii="Times New Roman" w:eastAsia="Times New Roman" w:hAnsi="Times New Roman" w:cs="Times New Roman"/>
          <w:vertAlign w:val="superscript"/>
          <w:lang w:val="es-ES"/>
        </w:rPr>
        <w:t>3</w:t>
      </w:r>
      <w:r w:rsidRPr="00C86CDF">
        <w:rPr>
          <w:rFonts w:ascii="Times New Roman" w:eastAsia="Times New Roman" w:hAnsi="Times New Roman" w:cs="Times New Roman"/>
          <w:lang w:val="es-ES"/>
        </w:rPr>
        <w:t>, Fernando Blanco</w:t>
      </w:r>
      <w:r w:rsidRPr="00C86CDF">
        <w:rPr>
          <w:rFonts w:ascii="Times New Roman" w:eastAsia="Times New Roman" w:hAnsi="Times New Roman" w:cs="Times New Roman"/>
          <w:vertAlign w:val="superscript"/>
          <w:lang w:val="es-ES"/>
        </w:rPr>
        <w:t>2,5,6</w:t>
      </w:r>
      <w:r w:rsidRPr="00C86CDF">
        <w:rPr>
          <w:rFonts w:ascii="Times New Roman" w:eastAsia="Times New Roman" w:hAnsi="Times New Roman" w:cs="Times New Roman"/>
          <w:lang w:val="es-ES"/>
        </w:rPr>
        <w:t xml:space="preserve">, </w:t>
      </w:r>
      <w:proofErr w:type="spellStart"/>
      <w:r w:rsidRPr="00C86CDF">
        <w:rPr>
          <w:rFonts w:ascii="Times New Roman" w:eastAsia="Times New Roman" w:hAnsi="Times New Roman" w:cs="Times New Roman"/>
          <w:lang w:val="es-ES"/>
        </w:rPr>
        <w:t>Jiří</w:t>
      </w:r>
      <w:proofErr w:type="spellEnd"/>
      <w:r w:rsidRPr="00C86CDF">
        <w:rPr>
          <w:rFonts w:ascii="Times New Roman" w:eastAsia="Times New Roman" w:hAnsi="Times New Roman" w:cs="Times New Roman"/>
          <w:lang w:val="es-ES"/>
        </w:rPr>
        <w:t xml:space="preserve"> Šmíd</w:t>
      </w:r>
      <w:r w:rsidRPr="00C86CDF">
        <w:rPr>
          <w:rFonts w:ascii="Times New Roman" w:eastAsia="Times New Roman" w:hAnsi="Times New Roman" w:cs="Times New Roman"/>
          <w:vertAlign w:val="superscript"/>
          <w:lang w:val="es-ES"/>
        </w:rPr>
        <w:t>7,8</w:t>
      </w:r>
    </w:p>
    <w:p w14:paraId="5F80BC0C" w14:textId="77777777" w:rsidR="009D252A" w:rsidRPr="00C86CDF" w:rsidRDefault="009D252A">
      <w:pPr>
        <w:jc w:val="both"/>
        <w:rPr>
          <w:rFonts w:ascii="Times New Roman" w:eastAsia="Times New Roman" w:hAnsi="Times New Roman" w:cs="Times New Roman"/>
          <w:lang w:val="es-ES"/>
        </w:rPr>
      </w:pPr>
    </w:p>
    <w:p w14:paraId="68BB083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Department of Biodiversity, Ecology and Evolution, Faculty of Biology, Universidad </w:t>
      </w:r>
      <w:proofErr w:type="spellStart"/>
      <w:r>
        <w:rPr>
          <w:rFonts w:ascii="Times New Roman" w:eastAsia="Times New Roman" w:hAnsi="Times New Roman" w:cs="Times New Roman"/>
        </w:rPr>
        <w:t>Complutense</w:t>
      </w:r>
      <w:proofErr w:type="spellEnd"/>
      <w:r>
        <w:rPr>
          <w:rFonts w:ascii="Times New Roman" w:eastAsia="Times New Roman" w:hAnsi="Times New Roman" w:cs="Times New Roman"/>
        </w:rPr>
        <w:t xml:space="preserve"> de Madrid, Madrid, Spain</w:t>
      </w:r>
    </w:p>
    <w:p w14:paraId="6A377A2D"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Museum für </w:t>
      </w:r>
      <w:proofErr w:type="spellStart"/>
      <w:r>
        <w:rPr>
          <w:rFonts w:ascii="Times New Roman" w:eastAsia="Times New Roman" w:hAnsi="Times New Roman" w:cs="Times New Roman"/>
        </w:rPr>
        <w:t>Naturkunde</w:t>
      </w:r>
      <w:proofErr w:type="spellEnd"/>
      <w:r>
        <w:rPr>
          <w:rFonts w:ascii="Times New Roman" w:eastAsia="Times New Roman" w:hAnsi="Times New Roman" w:cs="Times New Roman"/>
        </w:rPr>
        <w:t>, Leibniz Institute for Research on Evolution and Biodiversity at the Humboldt University Berlin, 10115 Berlin, Germany</w:t>
      </w:r>
    </w:p>
    <w:p w14:paraId="6D56F9C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CB8EA3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1CFDE5F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Department of Biological and Environmental Sciences, University of Gothenburg, </w:t>
      </w:r>
      <w:proofErr w:type="spellStart"/>
      <w:r>
        <w:rPr>
          <w:rFonts w:ascii="Times New Roman" w:eastAsia="Times New Roman" w:hAnsi="Times New Roman" w:cs="Times New Roman"/>
        </w:rPr>
        <w:t>Medicinaregatan</w:t>
      </w:r>
      <w:proofErr w:type="spellEnd"/>
      <w:r>
        <w:rPr>
          <w:rFonts w:ascii="Times New Roman" w:eastAsia="Times New Roman" w:hAnsi="Times New Roman" w:cs="Times New Roman"/>
        </w:rPr>
        <w:t xml:space="preserve"> 18, 405 30 Gothenburg, Sweden</w:t>
      </w:r>
    </w:p>
    <w:p w14:paraId="536C387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79BEA06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211D006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0F38E1EB" w14:textId="46E59456" w:rsidR="007019A0" w:rsidRDefault="007019A0">
      <w:pPr>
        <w:jc w:val="both"/>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correspondence</w:t>
      </w:r>
      <w:proofErr w:type="gramEnd"/>
      <w:r>
        <w:rPr>
          <w:rFonts w:ascii="Times New Roman" w:eastAsia="Times New Roman" w:hAnsi="Times New Roman" w:cs="Times New Roman"/>
        </w:rPr>
        <w:t xml:space="preserve"> to: hetejero@ucm.es</w:t>
      </w:r>
    </w:p>
    <w:p w14:paraId="7EA31EA2" w14:textId="77777777" w:rsidR="00A7767A" w:rsidRDefault="00A7767A">
      <w:pPr>
        <w:jc w:val="both"/>
        <w:rPr>
          <w:rFonts w:ascii="Times New Roman" w:eastAsia="Times New Roman" w:hAnsi="Times New Roman" w:cs="Times New Roman"/>
        </w:rPr>
      </w:pPr>
    </w:p>
    <w:p w14:paraId="03A0C306"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0" w:name="_heading=h.1nd8mue55sl8" w:colFirst="0" w:colLast="0"/>
      <w:bookmarkEnd w:id="0"/>
      <w:r>
        <w:rPr>
          <w:rFonts w:ascii="Times New Roman" w:eastAsia="Times New Roman" w:hAnsi="Times New Roman" w:cs="Times New Roman"/>
          <w:b/>
          <w:color w:val="000000"/>
        </w:rPr>
        <w:t>Abstract</w:t>
      </w:r>
    </w:p>
    <w:p w14:paraId="49666AA9" w14:textId="77777777" w:rsidR="009D252A" w:rsidRDefault="009D252A">
      <w:pPr>
        <w:jc w:val="both"/>
        <w:rPr>
          <w:rFonts w:ascii="Times New Roman" w:eastAsia="Times New Roman" w:hAnsi="Times New Roman" w:cs="Times New Roman"/>
        </w:rPr>
      </w:pPr>
    </w:p>
    <w:p w14:paraId="7916B90C"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Biodiversity is distributed unevenly among lineages and regions, and understanding the processes generating these global patterns is a central goal in evolutionary research, particularly </w:t>
      </w:r>
      <w:proofErr w:type="gramStart"/>
      <w:r>
        <w:rPr>
          <w:rFonts w:ascii="Times New Roman" w:eastAsia="Times New Roman" w:hAnsi="Times New Roman" w:cs="Times New Roman"/>
        </w:rPr>
        <w:t>in light of</w:t>
      </w:r>
      <w:proofErr w:type="gramEnd"/>
      <w:r>
        <w:rPr>
          <w:rFonts w:ascii="Times New Roman" w:eastAsia="Times New Roman" w:hAnsi="Times New Roman" w:cs="Times New Roman"/>
        </w:rPr>
        <w:t xml:space="preserve">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2B3C8582" w14:textId="77777777" w:rsidR="004C368B" w:rsidRDefault="004C368B">
      <w:pPr>
        <w:jc w:val="both"/>
        <w:rPr>
          <w:rFonts w:ascii="Times New Roman" w:eastAsia="Times New Roman" w:hAnsi="Times New Roman" w:cs="Times New Roman"/>
        </w:rPr>
      </w:pPr>
    </w:p>
    <w:p w14:paraId="1E04ED25" w14:textId="7DA6E55B" w:rsidR="004C368B" w:rsidRDefault="004C368B">
      <w:pPr>
        <w:jc w:val="both"/>
        <w:rPr>
          <w:rFonts w:ascii="Times New Roman" w:eastAsia="Times New Roman" w:hAnsi="Times New Roman" w:cs="Times New Roman"/>
        </w:rPr>
      </w:pPr>
      <w:r w:rsidRPr="004C368B">
        <w:rPr>
          <w:rFonts w:ascii="Times New Roman" w:eastAsia="Times New Roman" w:hAnsi="Times New Roman" w:cs="Times New Roman"/>
          <w:b/>
          <w:bCs/>
        </w:rPr>
        <w:t>Keywords</w:t>
      </w:r>
      <w:r>
        <w:rPr>
          <w:rFonts w:ascii="Times New Roman" w:eastAsia="Times New Roman" w:hAnsi="Times New Roman" w:cs="Times New Roman"/>
        </w:rPr>
        <w:t>: phylogenetic diversity, species richness, biodiversity patterns, tetrapods, speciation</w:t>
      </w:r>
    </w:p>
    <w:p w14:paraId="77C5F186" w14:textId="77777777" w:rsidR="009D252A" w:rsidRDefault="009D252A">
      <w:pPr>
        <w:jc w:val="both"/>
        <w:rPr>
          <w:rFonts w:ascii="Times New Roman" w:eastAsia="Times New Roman" w:hAnsi="Times New Roman" w:cs="Times New Roman"/>
        </w:rPr>
      </w:pPr>
    </w:p>
    <w:p w14:paraId="5A127DB3" w14:textId="70787BAF" w:rsidR="00C567A1" w:rsidRDefault="004C368B" w:rsidP="00C567A1">
      <w:pPr>
        <w:jc w:val="both"/>
        <w:rPr>
          <w:rFonts w:ascii="Times New Roman" w:eastAsia="Times New Roman" w:hAnsi="Times New Roman" w:cs="Times New Roman"/>
        </w:rPr>
      </w:pPr>
      <w:r w:rsidRPr="00C567A1">
        <w:rPr>
          <w:rFonts w:ascii="Times New Roman" w:eastAsia="Times New Roman" w:hAnsi="Times New Roman" w:cs="Times New Roman"/>
          <w:b/>
          <w:bCs/>
        </w:rPr>
        <w:t>Significance</w:t>
      </w:r>
      <w:r>
        <w:rPr>
          <w:rFonts w:ascii="Times New Roman" w:eastAsia="Times New Roman" w:hAnsi="Times New Roman" w:cs="Times New Roman"/>
        </w:rPr>
        <w:t xml:space="preserve">: </w:t>
      </w:r>
      <w:r w:rsidR="00C567A1">
        <w:rPr>
          <w:rFonts w:ascii="Times New Roman" w:eastAsia="Times New Roman" w:hAnsi="Times New Roman" w:cs="Times New Roman"/>
        </w:rPr>
        <w:t>Patterns of phylogenetic diversity (PD) help us understand the evolutionary processes that have shaped biodiversity on Earth. Here we identify regions of high and low residual PD – i.e., where species are more distantly or more closely related, respectively, than expected by richness – for amphibians, squamates, birds, and mammals. Comparing across tetrapod groups, we found that recent speciation rates are responsible for general trends of residual PD, and that other factors (e.g., deep-time diversification, life-history traits) have likely shaped global biodiversity patterns.</w:t>
      </w:r>
      <w:bookmarkStart w:id="1" w:name="_heading=h.g5v54cobzuz1" w:colFirst="0" w:colLast="0"/>
      <w:bookmarkEnd w:id="1"/>
    </w:p>
    <w:p w14:paraId="6D1C4120" w14:textId="63F57190" w:rsidR="009D252A" w:rsidRPr="00C567A1" w:rsidRDefault="00000000" w:rsidP="00C567A1">
      <w:pPr>
        <w:jc w:val="both"/>
        <w:rPr>
          <w:rFonts w:ascii="Times New Roman" w:eastAsia="Times New Roman" w:hAnsi="Times New Roman" w:cs="Times New Roman"/>
        </w:rPr>
      </w:pPr>
      <w:r>
        <w:rPr>
          <w:rFonts w:ascii="Times New Roman" w:eastAsia="Times New Roman" w:hAnsi="Times New Roman" w:cs="Times New Roman"/>
          <w:b/>
          <w:color w:val="000000"/>
        </w:rPr>
        <w:lastRenderedPageBreak/>
        <w:t>Introduction</w:t>
      </w:r>
    </w:p>
    <w:p w14:paraId="6FFB4D53"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2" w:name="_heading=h.l6uheowdo5z9" w:colFirst="0" w:colLast="0"/>
      <w:bookmarkEnd w:id="2"/>
    </w:p>
    <w:p w14:paraId="16D26E27" w14:textId="1ACB9FA6" w:rsidR="009D252A" w:rsidRPr="00BE4404" w:rsidRDefault="00000000">
      <w:pPr>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the relationship 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pPr>
        <w:jc w:val="both"/>
        <w:rPr>
          <w:rFonts w:ascii="Times New Roman" w:eastAsia="Times New Roman" w:hAnsi="Times New Roman" w:cs="Times New Roman"/>
        </w:rPr>
      </w:pPr>
    </w:p>
    <w:p w14:paraId="0C53CD33" w14:textId="3256AC19"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pPr>
        <w:jc w:val="both"/>
        <w:rPr>
          <w:rFonts w:ascii="Times New Roman" w:eastAsia="Times New Roman" w:hAnsi="Times New Roman" w:cs="Times New Roman"/>
        </w:rPr>
      </w:pPr>
    </w:p>
    <w:p w14:paraId="76E216CE" w14:textId="6F4C146E"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However, geographic patterns of 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pPr>
        <w:jc w:val="both"/>
        <w:rPr>
          <w:rFonts w:ascii="Times New Roman" w:eastAsia="Times New Roman" w:hAnsi="Times New Roman" w:cs="Times New Roman"/>
        </w:rPr>
      </w:pPr>
    </w:p>
    <w:p w14:paraId="29D68F00" w14:textId="25FCBF86" w:rsidR="009D252A" w:rsidRDefault="00000000">
      <w:pPr>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w:t>
      </w:r>
      <w:r>
        <w:rPr>
          <w:rFonts w:ascii="Times New Roman" w:eastAsia="Times New Roman" w:hAnsi="Times New Roman" w:cs="Times New Roman"/>
        </w:rPr>
        <w:lastRenderedPageBreak/>
        <w:t>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pPr>
        <w:jc w:val="both"/>
        <w:rPr>
          <w:rFonts w:ascii="Times New Roman" w:eastAsia="Times New Roman" w:hAnsi="Times New Roman" w:cs="Times New Roman"/>
        </w:rPr>
      </w:pPr>
    </w:p>
    <w:p w14:paraId="47765888" w14:textId="22B6F709" w:rsidR="009D252A" w:rsidRDefault="00000000">
      <w:pPr>
        <w:jc w:val="both"/>
        <w:rPr>
          <w:rFonts w:ascii="Times New Roman" w:eastAsia="Times New Roman" w:hAnsi="Times New Roman" w:cs="Times New Roman"/>
        </w:rPr>
      </w:pPr>
      <w:r>
        <w:rPr>
          <w:rFonts w:ascii="Times New Roman" w:eastAsia="Times New Roman" w:hAnsi="Times New Roman" w:cs="Times New Roman"/>
        </w:rPr>
        <w:t>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222F228A" w14:textId="77777777" w:rsidR="009D252A" w:rsidRDefault="009D252A">
      <w:pPr>
        <w:jc w:val="both"/>
        <w:rPr>
          <w:rFonts w:ascii="Times New Roman" w:eastAsia="Times New Roman" w:hAnsi="Times New Roman" w:cs="Times New Roman"/>
        </w:rPr>
      </w:pPr>
    </w:p>
    <w:p w14:paraId="054CC667"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9F3347" wp14:editId="687EF3FF">
            <wp:extent cx="5399730" cy="7670800"/>
            <wp:effectExtent l="0" t="0" r="0" b="0"/>
            <wp:docPr id="167322989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6D640EB8"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14:paraId="3295969D" w14:textId="77777777" w:rsidR="009D252A"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Materials and Methods</w:t>
      </w:r>
    </w:p>
    <w:p w14:paraId="2FBFE2EC" w14:textId="77777777" w:rsidR="009D252A" w:rsidRDefault="009D252A">
      <w:pPr>
        <w:jc w:val="both"/>
        <w:rPr>
          <w:rFonts w:ascii="Times New Roman" w:eastAsia="Times New Roman" w:hAnsi="Times New Roman" w:cs="Times New Roman"/>
        </w:rPr>
      </w:pPr>
    </w:p>
    <w:p w14:paraId="6F714210" w14:textId="41FA2193"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pPr>
        <w:jc w:val="both"/>
        <w:rPr>
          <w:rFonts w:ascii="Times New Roman" w:eastAsia="Times New Roman" w:hAnsi="Times New Roman" w:cs="Times New Roman"/>
        </w:rPr>
      </w:pPr>
    </w:p>
    <w:p w14:paraId="09C25139" w14:textId="5B4A707A"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pPr>
        <w:jc w:val="both"/>
        <w:rPr>
          <w:rFonts w:ascii="Times New Roman" w:eastAsia="Times New Roman" w:hAnsi="Times New Roman" w:cs="Times New Roman"/>
        </w:rPr>
      </w:pPr>
    </w:p>
    <w:p w14:paraId="2663F280" w14:textId="6768E25C"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pPr>
        <w:jc w:val="both"/>
        <w:rPr>
          <w:rFonts w:ascii="Times New Roman" w:eastAsia="Times New Roman" w:hAnsi="Times New Roman" w:cs="Times New Roman"/>
        </w:rPr>
      </w:pPr>
    </w:p>
    <w:p w14:paraId="3171D7E7" w14:textId="44B83E5B"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pPr>
        <w:jc w:val="both"/>
        <w:rPr>
          <w:rFonts w:ascii="Times New Roman" w:eastAsia="Times New Roman" w:hAnsi="Times New Roman" w:cs="Times New Roman"/>
        </w:rPr>
      </w:pPr>
    </w:p>
    <w:p w14:paraId="4B0FD21A" w14:textId="38E0DCAF"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pPr>
        <w:jc w:val="both"/>
        <w:rPr>
          <w:rFonts w:ascii="Times New Roman" w:eastAsia="Times New Roman" w:hAnsi="Times New Roman" w:cs="Times New Roman"/>
        </w:rPr>
      </w:pPr>
    </w:p>
    <w:p w14:paraId="37229105" w14:textId="67973FE6"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Net primary productivity data summarized over the period between 1981 and 2015 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pPr>
        <w:jc w:val="both"/>
        <w:rPr>
          <w:rFonts w:ascii="Times New Roman" w:eastAsia="Times New Roman" w:hAnsi="Times New Roman" w:cs="Times New Roman"/>
        </w:rPr>
      </w:pPr>
    </w:p>
    <w:p w14:paraId="72DDA29D"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3" w:name="_heading=h.ps2k3fhdabdn" w:colFirst="0" w:colLast="0"/>
      <w:bookmarkEnd w:id="3"/>
      <w:r>
        <w:rPr>
          <w:rFonts w:ascii="Times New Roman" w:eastAsia="Times New Roman" w:hAnsi="Times New Roman" w:cs="Times New Roman"/>
          <w:b/>
          <w:color w:val="000000"/>
        </w:rPr>
        <w:t xml:space="preserve">Results </w:t>
      </w:r>
    </w:p>
    <w:p w14:paraId="3BB45241" w14:textId="77777777" w:rsidR="009D252A" w:rsidRDefault="009D252A">
      <w:pPr>
        <w:jc w:val="both"/>
        <w:rPr>
          <w:rFonts w:ascii="Times New Roman" w:eastAsia="Times New Roman" w:hAnsi="Times New Roman" w:cs="Times New Roman"/>
        </w:rPr>
      </w:pPr>
    </w:p>
    <w:p w14:paraId="0FC44CC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78C21481"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w:t>
      </w:r>
      <w:r>
        <w:rPr>
          <w:rFonts w:ascii="Times New Roman" w:eastAsia="Times New Roman" w:hAnsi="Times New Roman" w:cs="Times New Roman"/>
        </w:rPr>
        <w:lastRenderedPageBreak/>
        <w:t xml:space="preserve">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pPr>
        <w:jc w:val="both"/>
        <w:rPr>
          <w:rFonts w:ascii="Times New Roman" w:eastAsia="Times New Roman" w:hAnsi="Times New Roman" w:cs="Times New Roman"/>
        </w:rPr>
      </w:pPr>
    </w:p>
    <w:p w14:paraId="457B4AF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75FF226" w14:textId="77777777" w:rsidR="009D252A" w:rsidRDefault="009D252A">
      <w:pPr>
        <w:jc w:val="both"/>
        <w:rPr>
          <w:rFonts w:ascii="Times New Roman" w:eastAsia="Times New Roman" w:hAnsi="Times New Roman" w:cs="Times New Roman"/>
        </w:rPr>
      </w:pPr>
    </w:p>
    <w:p w14:paraId="26D96084" w14:textId="77777777" w:rsidR="009D252A" w:rsidRDefault="009D252A">
      <w:pPr>
        <w:jc w:val="both"/>
        <w:rPr>
          <w:rFonts w:ascii="Times New Roman" w:eastAsia="Times New Roman" w:hAnsi="Times New Roman" w:cs="Times New Roman"/>
        </w:rPr>
      </w:pPr>
    </w:p>
    <w:p w14:paraId="7C587114" w14:textId="77777777" w:rsidR="009D252A" w:rsidRDefault="009D252A">
      <w:pPr>
        <w:jc w:val="both"/>
        <w:rPr>
          <w:rFonts w:ascii="Times New Roman" w:eastAsia="Times New Roman" w:hAnsi="Times New Roman" w:cs="Times New Roman"/>
        </w:rPr>
      </w:pPr>
    </w:p>
    <w:p w14:paraId="67F71741" w14:textId="77777777" w:rsidR="009D252A" w:rsidRDefault="009D252A">
      <w:pPr>
        <w:jc w:val="both"/>
        <w:rPr>
          <w:rFonts w:ascii="Times New Roman" w:eastAsia="Times New Roman" w:hAnsi="Times New Roman" w:cs="Times New Roman"/>
        </w:rPr>
      </w:pPr>
    </w:p>
    <w:p w14:paraId="0D4416B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63693B" wp14:editId="25C8F658">
            <wp:extent cx="5314194" cy="7772717"/>
            <wp:effectExtent l="0" t="0" r="0" b="0"/>
            <wp:docPr id="16732298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8285F3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0FD9C109" w14:textId="77777777" w:rsidR="009D252A" w:rsidRDefault="009D252A">
      <w:pPr>
        <w:jc w:val="both"/>
        <w:rPr>
          <w:rFonts w:ascii="Times New Roman" w:eastAsia="Times New Roman" w:hAnsi="Times New Roman" w:cs="Times New Roman"/>
        </w:rPr>
      </w:pPr>
    </w:p>
    <w:p w14:paraId="2FCF3A02"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9F55C0" wp14:editId="60A98109">
            <wp:extent cx="5399730" cy="4622800"/>
            <wp:effectExtent l="0" t="0" r="0" b="0"/>
            <wp:docPr id="16732298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3BF119FF"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2B7F191D" w14:textId="77777777" w:rsidR="009D252A" w:rsidRDefault="009D252A">
      <w:pPr>
        <w:jc w:val="both"/>
        <w:rPr>
          <w:rFonts w:ascii="Times New Roman" w:eastAsia="Times New Roman" w:hAnsi="Times New Roman" w:cs="Times New Roman"/>
        </w:rPr>
      </w:pPr>
    </w:p>
    <w:p w14:paraId="45F3405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1C831C0" wp14:editId="582979C6">
            <wp:extent cx="4101222" cy="3876992"/>
            <wp:effectExtent l="0" t="0" r="0" b="0"/>
            <wp:docPr id="1673229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1FF7CBB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004E9588" w14:textId="77777777" w:rsidR="009D252A" w:rsidRDefault="009D252A">
      <w:pPr>
        <w:jc w:val="both"/>
        <w:rPr>
          <w:rFonts w:ascii="Times New Roman" w:eastAsia="Times New Roman" w:hAnsi="Times New Roman" w:cs="Times New Roman"/>
        </w:rPr>
      </w:pPr>
    </w:p>
    <w:p w14:paraId="61CB2D6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A9A1F63" w14:textId="77777777" w:rsidR="009D252A" w:rsidRDefault="009D252A">
      <w:pPr>
        <w:jc w:val="both"/>
        <w:rPr>
          <w:rFonts w:ascii="Times New Roman" w:eastAsia="Times New Roman" w:hAnsi="Times New Roman" w:cs="Times New Roman"/>
        </w:rPr>
      </w:pPr>
    </w:p>
    <w:p w14:paraId="15B30610"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w:t>
      </w:r>
      <w:r>
        <w:rPr>
          <w:rFonts w:ascii="Times New Roman" w:eastAsia="Times New Roman" w:hAnsi="Times New Roman" w:cs="Times New Roman"/>
        </w:rPr>
        <w:lastRenderedPageBreak/>
        <w:t xml:space="preserve">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7C36DBD"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0F55A0B6" w14:textId="77777777" w:rsidR="009D252A" w:rsidRDefault="009D252A">
      <w:pPr>
        <w:jc w:val="both"/>
        <w:rPr>
          <w:rFonts w:ascii="Times New Roman" w:eastAsia="Times New Roman" w:hAnsi="Times New Roman" w:cs="Times New Roman"/>
        </w:rPr>
      </w:pPr>
    </w:p>
    <w:p w14:paraId="630330AB" w14:textId="77777777" w:rsidR="009D252A" w:rsidRDefault="009D252A">
      <w:pPr>
        <w:jc w:val="both"/>
        <w:rPr>
          <w:rFonts w:ascii="Times New Roman" w:eastAsia="Times New Roman" w:hAnsi="Times New Roman" w:cs="Times New Roman"/>
        </w:rPr>
      </w:pPr>
    </w:p>
    <w:p w14:paraId="0C6F0610"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A3197C4" wp14:editId="6B981730">
            <wp:extent cx="5399730" cy="4787900"/>
            <wp:effectExtent l="0" t="0" r="0" b="0"/>
            <wp:docPr id="1673229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A48438B"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6153FA05"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4" w:name="_heading=h.4r1rivto6ab1" w:colFirst="0" w:colLast="0"/>
      <w:bookmarkEnd w:id="4"/>
    </w:p>
    <w:p w14:paraId="6DAB7971"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5" w:name="_heading=h.qw4o535r0vxg" w:colFirst="0" w:colLast="0"/>
      <w:bookmarkEnd w:id="5"/>
    </w:p>
    <w:p w14:paraId="665EC5E8"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 w:name="_heading=h.g1levh1zlxu0" w:colFirst="0" w:colLast="0"/>
      <w:bookmarkEnd w:id="6"/>
      <w:r>
        <w:rPr>
          <w:rFonts w:ascii="Times New Roman" w:eastAsia="Times New Roman" w:hAnsi="Times New Roman" w:cs="Times New Roman"/>
          <w:b/>
          <w:color w:val="000000"/>
        </w:rPr>
        <w:t>Discussion</w:t>
      </w:r>
    </w:p>
    <w:p w14:paraId="5CDB37CF" w14:textId="77777777" w:rsidR="009D252A" w:rsidRDefault="009D252A">
      <w:pPr>
        <w:jc w:val="both"/>
        <w:rPr>
          <w:rFonts w:ascii="Times New Roman" w:eastAsia="Times New Roman" w:hAnsi="Times New Roman" w:cs="Times New Roman"/>
        </w:rPr>
      </w:pPr>
    </w:p>
    <w:p w14:paraId="60F8FAEE"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4ABF6A88" w14:textId="77777777" w:rsidR="009D252A" w:rsidRDefault="009D252A">
      <w:pPr>
        <w:jc w:val="both"/>
        <w:rPr>
          <w:rFonts w:ascii="Times New Roman" w:eastAsia="Times New Roman" w:hAnsi="Times New Roman" w:cs="Times New Roman"/>
        </w:rPr>
      </w:pPr>
    </w:p>
    <w:p w14:paraId="2C66B6B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w:t>
      </w:r>
      <w:r>
        <w:rPr>
          <w:rFonts w:ascii="Times New Roman" w:eastAsia="Times New Roman" w:hAnsi="Times New Roman" w:cs="Times New Roman"/>
        </w:rPr>
        <w:lastRenderedPageBreak/>
        <w:t>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pPr>
        <w:jc w:val="both"/>
        <w:rPr>
          <w:rFonts w:ascii="Times New Roman" w:eastAsia="Times New Roman" w:hAnsi="Times New Roman" w:cs="Times New Roman"/>
        </w:rPr>
      </w:pPr>
    </w:p>
    <w:p w14:paraId="7F49A9D9" w14:textId="4BBF67A4"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While plausible for mammals, this 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4805E457" w14:textId="77777777" w:rsidR="009D252A" w:rsidRDefault="009D252A">
      <w:pPr>
        <w:jc w:val="both"/>
        <w:rPr>
          <w:rFonts w:ascii="Times New Roman" w:eastAsia="Times New Roman" w:hAnsi="Times New Roman" w:cs="Times New Roman"/>
        </w:rPr>
      </w:pPr>
    </w:p>
    <w:p w14:paraId="2515B6D9" w14:textId="34D6929D"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pPr>
        <w:jc w:val="both"/>
        <w:rPr>
          <w:rFonts w:ascii="Times New Roman" w:eastAsia="Times New Roman" w:hAnsi="Times New Roman" w:cs="Times New Roman"/>
        </w:rPr>
      </w:pPr>
    </w:p>
    <w:p w14:paraId="222B7042" w14:textId="53C8FDF5"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Finally, 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These contrasting patterns are somewhat paradoxical considering that passerines are generally competent fliers, suggesting that there may be additional factors driving spatial diversity patterns among birds.</w:t>
      </w:r>
    </w:p>
    <w:p w14:paraId="777E5F34" w14:textId="77777777" w:rsidR="009D252A" w:rsidRDefault="009D252A">
      <w:pPr>
        <w:jc w:val="both"/>
        <w:rPr>
          <w:rFonts w:ascii="Times New Roman" w:eastAsia="Times New Roman" w:hAnsi="Times New Roman" w:cs="Times New Roman"/>
        </w:rPr>
      </w:pPr>
    </w:p>
    <w:p w14:paraId="461735D1" w14:textId="0E50A8FC" w:rsidR="009D252A" w:rsidRDefault="00000000">
      <w:pPr>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Mountains may also generate important refugia and reserves of cold- or humid-adapted diversity during periods of climate 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Likewise, deserts, which have been recurrently 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pPr>
        <w:jc w:val="both"/>
        <w:rPr>
          <w:rFonts w:ascii="Times New Roman" w:eastAsia="Times New Roman" w:hAnsi="Times New Roman" w:cs="Times New Roman"/>
        </w:rPr>
      </w:pPr>
    </w:p>
    <w:p w14:paraId="3D957104" w14:textId="48B20AB2" w:rsidR="009D252A" w:rsidRDefault="00000000">
      <w:pPr>
        <w:jc w:val="both"/>
        <w:rPr>
          <w:rFonts w:ascii="Times New Roman" w:eastAsia="Times New Roman" w:hAnsi="Times New Roman" w:cs="Times New Roman"/>
        </w:rPr>
      </w:pPr>
      <w:r>
        <w:rPr>
          <w:rFonts w:ascii="Times New Roman" w:eastAsia="Times New Roman" w:hAnsi="Times New Roman" w:cs="Times New Roman"/>
        </w:rPr>
        <w:t>Apart from differences in trait- and environment-mediated speciation and dispersal, extinction may also be a major driver of diversity, diversification and biogeographic 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Specifically, extinction events are known not only to underlie current 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w:t>
      </w:r>
      <w:r>
        <w:rPr>
          <w:rFonts w:ascii="Times New Roman" w:eastAsia="Times New Roman" w:hAnsi="Times New Roman" w:cs="Times New Roman"/>
        </w:rPr>
        <w:lastRenderedPageBreak/>
        <w:t xml:space="preserve">relationship between the residual PD of a region and the age of the biota within it or the pattern of lineage accumulation (Supp. Figs. 4-7), but the inclusion of fossil information would enhance our ability to investigate such a relationship. </w:t>
      </w:r>
    </w:p>
    <w:p w14:paraId="291D6A44" w14:textId="77777777" w:rsidR="009D252A" w:rsidRDefault="009D252A">
      <w:pPr>
        <w:jc w:val="both"/>
        <w:rPr>
          <w:rFonts w:ascii="Times New Roman" w:eastAsia="Times New Roman" w:hAnsi="Times New Roman" w:cs="Times New Roman"/>
        </w:rPr>
      </w:pPr>
    </w:p>
    <w:p w14:paraId="688274F0" w14:textId="1DD321D3" w:rsidR="009D252A" w:rsidRDefault="00000000">
      <w:pPr>
        <w:jc w:val="both"/>
        <w:rPr>
          <w:rFonts w:ascii="Times New Roman" w:eastAsia="Times New Roman" w:hAnsi="Times New Roman" w:cs="Times New Roman"/>
        </w:rPr>
      </w:pPr>
      <w:r>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Pr>
          <w:rFonts w:ascii="Times New Roman" w:eastAsia="Times New Roman" w:hAnsi="Times New Roman" w:cs="Times New Roman"/>
        </w:rPr>
        <w:t>.</w:t>
      </w:r>
    </w:p>
    <w:p w14:paraId="6FCD0AE7" w14:textId="77777777" w:rsidR="009D252A" w:rsidRDefault="009D252A">
      <w:pPr>
        <w:jc w:val="both"/>
        <w:rPr>
          <w:rFonts w:ascii="Times New Roman" w:eastAsia="Times New Roman" w:hAnsi="Times New Roman" w:cs="Times New Roman"/>
        </w:rPr>
      </w:pPr>
    </w:p>
    <w:p w14:paraId="28283974" w14:textId="77777777" w:rsidR="009D252A" w:rsidRDefault="009D252A">
      <w:pPr>
        <w:jc w:val="both"/>
        <w:rPr>
          <w:rFonts w:ascii="Times New Roman" w:eastAsia="Times New Roman" w:hAnsi="Times New Roman" w:cs="Times New Roman"/>
        </w:rPr>
      </w:pPr>
    </w:p>
    <w:p w14:paraId="3071B7B0" w14:textId="0ED4AE6B" w:rsidR="009D252A" w:rsidRPr="006078A6" w:rsidRDefault="00000000">
      <w:pPr>
        <w:jc w:val="both"/>
        <w:rPr>
          <w:rFonts w:ascii="Times New Roman" w:eastAsia="Times New Roman" w:hAnsi="Times New Roman" w:cs="Times New Roman"/>
          <w:b/>
        </w:rPr>
      </w:pPr>
      <w:r>
        <w:rPr>
          <w:rFonts w:ascii="Times New Roman" w:eastAsia="Times New Roman" w:hAnsi="Times New Roman" w:cs="Times New Roman"/>
          <w:b/>
        </w:rPr>
        <w:t xml:space="preserve">Acknowledgments </w:t>
      </w:r>
    </w:p>
    <w:p w14:paraId="15A0A5F2"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HT-C is supported by a "Juan de la </w:t>
      </w:r>
      <w:proofErr w:type="spellStart"/>
      <w:r>
        <w:rPr>
          <w:rFonts w:ascii="Times New Roman" w:eastAsia="Times New Roman" w:hAnsi="Times New Roman" w:cs="Times New Roman"/>
        </w:rPr>
        <w:t>Cierva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Formación</w:t>
      </w:r>
      <w:proofErr w:type="spellEnd"/>
      <w:r>
        <w:rPr>
          <w:rFonts w:ascii="Times New Roman" w:eastAsia="Times New Roman" w:hAnsi="Times New Roman" w:cs="Times New Roman"/>
        </w:rPr>
        <w:t xml:space="preserve">" postdoctoral fellowship (FJC2021-046832-I) funded by MCIN/AEI/10.13039/501100011033 and by the European Union </w:t>
      </w:r>
      <w:proofErr w:type="spellStart"/>
      <w:r>
        <w:rPr>
          <w:rFonts w:ascii="Times New Roman" w:eastAsia="Times New Roman" w:hAnsi="Times New Roman" w:cs="Times New Roman"/>
        </w:rPr>
        <w:t>NextGenerationEU</w:t>
      </w:r>
      <w:proofErr w:type="spellEnd"/>
      <w:r>
        <w:rPr>
          <w:rFonts w:ascii="Times New Roman" w:eastAsia="Times New Roman" w:hAnsi="Times New Roman" w:cs="Times New Roman"/>
        </w:rPr>
        <w:t>/PRTR.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46D69C42" w14:textId="77777777" w:rsidR="001519B8" w:rsidRDefault="001519B8">
      <w:pPr>
        <w:jc w:val="both"/>
        <w:rPr>
          <w:rFonts w:ascii="Times New Roman" w:eastAsia="Times New Roman" w:hAnsi="Times New Roman" w:cs="Times New Roman"/>
        </w:rPr>
      </w:pPr>
    </w:p>
    <w:p w14:paraId="76156BC2" w14:textId="329164CC" w:rsidR="001519B8" w:rsidRPr="006078A6" w:rsidRDefault="001519B8">
      <w:pPr>
        <w:jc w:val="both"/>
        <w:rPr>
          <w:rFonts w:ascii="Times New Roman" w:eastAsia="Times New Roman" w:hAnsi="Times New Roman" w:cs="Times New Roman"/>
          <w:b/>
          <w:bCs/>
        </w:rPr>
      </w:pPr>
      <w:r w:rsidRPr="001519B8">
        <w:rPr>
          <w:rFonts w:ascii="Times New Roman" w:eastAsia="Times New Roman" w:hAnsi="Times New Roman" w:cs="Times New Roman"/>
          <w:b/>
          <w:bCs/>
        </w:rPr>
        <w:t xml:space="preserve">Competing interests </w:t>
      </w:r>
    </w:p>
    <w:p w14:paraId="22C77621" w14:textId="2BF1CB6A" w:rsidR="001519B8" w:rsidRDefault="001519B8">
      <w:pPr>
        <w:jc w:val="both"/>
        <w:rPr>
          <w:rFonts w:ascii="Times New Roman" w:eastAsia="Times New Roman" w:hAnsi="Times New Roman" w:cs="Times New Roman"/>
        </w:rPr>
      </w:pPr>
      <w:r>
        <w:rPr>
          <w:rFonts w:ascii="Times New Roman" w:eastAsia="Times New Roman" w:hAnsi="Times New Roman" w:cs="Times New Roman"/>
        </w:rPr>
        <w:t>The authors declare no competing interests.</w:t>
      </w:r>
    </w:p>
    <w:p w14:paraId="1DDB961C" w14:textId="77777777" w:rsidR="001519B8" w:rsidRDefault="001519B8">
      <w:pPr>
        <w:jc w:val="both"/>
        <w:rPr>
          <w:rFonts w:ascii="Times New Roman" w:eastAsia="Times New Roman" w:hAnsi="Times New Roman" w:cs="Times New Roman"/>
        </w:rPr>
      </w:pPr>
    </w:p>
    <w:p w14:paraId="3585DF41" w14:textId="522F5BFE" w:rsidR="006078A6" w:rsidRPr="000A2B35" w:rsidRDefault="006078A6">
      <w:pPr>
        <w:jc w:val="both"/>
        <w:rPr>
          <w:rFonts w:ascii="Times New Roman" w:eastAsia="Times New Roman" w:hAnsi="Times New Roman" w:cs="Times New Roman"/>
          <w:b/>
          <w:bCs/>
        </w:rPr>
      </w:pPr>
      <w:r w:rsidRPr="000A2B35">
        <w:rPr>
          <w:rFonts w:ascii="Times New Roman" w:eastAsia="Times New Roman" w:hAnsi="Times New Roman" w:cs="Times New Roman"/>
          <w:b/>
          <w:bCs/>
        </w:rPr>
        <w:t xml:space="preserve">Data availability </w:t>
      </w:r>
    </w:p>
    <w:p w14:paraId="6EB2134E" w14:textId="22342627" w:rsidR="006078A6" w:rsidRDefault="006078A6">
      <w:pPr>
        <w:jc w:val="both"/>
        <w:rPr>
          <w:rFonts w:ascii="Times New Roman" w:eastAsia="Times New Roman" w:hAnsi="Times New Roman" w:cs="Times New Roman"/>
        </w:rPr>
      </w:pPr>
      <w:r>
        <w:rPr>
          <w:rFonts w:ascii="Times New Roman" w:eastAsia="Times New Roman" w:hAnsi="Times New Roman" w:cs="Times New Roman"/>
        </w:rPr>
        <w:t xml:space="preserve">All data and scripts used </w:t>
      </w:r>
      <w:r w:rsidR="000A2B35">
        <w:rPr>
          <w:rFonts w:ascii="Times New Roman" w:eastAsia="Times New Roman" w:hAnsi="Times New Roman" w:cs="Times New Roman"/>
        </w:rPr>
        <w:t xml:space="preserve">will be deposited in a repository for public access and will be made available upon acceptance. </w:t>
      </w:r>
    </w:p>
    <w:p w14:paraId="617FF9CA" w14:textId="77777777" w:rsidR="008B30BE" w:rsidRDefault="008B30BE">
      <w:pPr>
        <w:jc w:val="both"/>
        <w:rPr>
          <w:rFonts w:ascii="Times New Roman" w:eastAsia="Times New Roman" w:hAnsi="Times New Roman" w:cs="Times New Roman"/>
        </w:rPr>
      </w:pPr>
    </w:p>
    <w:p w14:paraId="336C150E" w14:textId="65250F05" w:rsidR="008B30BE" w:rsidRPr="00851E33" w:rsidRDefault="008B30BE">
      <w:pPr>
        <w:jc w:val="both"/>
        <w:rPr>
          <w:rFonts w:ascii="Times New Roman" w:eastAsia="Times New Roman" w:hAnsi="Times New Roman" w:cs="Times New Roman"/>
          <w:b/>
          <w:bCs/>
        </w:rPr>
      </w:pPr>
      <w:r w:rsidRPr="00851E33">
        <w:rPr>
          <w:rFonts w:ascii="Times New Roman" w:eastAsia="Times New Roman" w:hAnsi="Times New Roman" w:cs="Times New Roman"/>
          <w:b/>
          <w:bCs/>
        </w:rPr>
        <w:t>Author contributions</w:t>
      </w:r>
    </w:p>
    <w:p w14:paraId="6CB8C687" w14:textId="3B04A16C" w:rsidR="008B30BE" w:rsidRDefault="008B30BE">
      <w:pPr>
        <w:jc w:val="both"/>
        <w:rPr>
          <w:rFonts w:ascii="Times New Roman" w:eastAsia="Times New Roman" w:hAnsi="Times New Roman" w:cs="Times New Roman"/>
        </w:rPr>
      </w:pPr>
      <w:r>
        <w:rPr>
          <w:rFonts w:ascii="Times New Roman" w:eastAsia="Times New Roman" w:hAnsi="Times New Roman" w:cs="Times New Roman"/>
        </w:rPr>
        <w:t xml:space="preserve">HT-C and JS designed research; HT-C, IM, EMS, GN, and FB performed research; HT-C and IM analyzed data; HT-C, IM, EMS, GN, FB, and JS wrote the manuscript. </w:t>
      </w:r>
    </w:p>
    <w:p w14:paraId="52A8D8C8" w14:textId="77777777" w:rsidR="006078A6" w:rsidRDefault="006078A6">
      <w:pPr>
        <w:jc w:val="both"/>
        <w:rPr>
          <w:rFonts w:ascii="Times New Roman" w:eastAsia="Times New Roman" w:hAnsi="Times New Roman" w:cs="Times New Roman"/>
        </w:rPr>
      </w:pPr>
    </w:p>
    <w:p w14:paraId="72E70C1A" w14:textId="77777777" w:rsidR="009D252A" w:rsidRDefault="009D252A">
      <w:pPr>
        <w:jc w:val="both"/>
        <w:rPr>
          <w:rFonts w:ascii="Times New Roman" w:eastAsia="Times New Roman" w:hAnsi="Times New Roman" w:cs="Times New Roman"/>
        </w:rPr>
      </w:pPr>
    </w:p>
    <w:p w14:paraId="0CDB367A" w14:textId="779DC839" w:rsidR="00392DB2" w:rsidRPr="005C1C89" w:rsidRDefault="00000000" w:rsidP="00BF6A8D">
      <w:pPr>
        <w:keepNext/>
        <w:keepLines/>
        <w:pBdr>
          <w:top w:val="nil"/>
          <w:left w:val="nil"/>
          <w:bottom w:val="nil"/>
          <w:right w:val="nil"/>
          <w:between w:val="nil"/>
        </w:pBdr>
        <w:jc w:val="both"/>
        <w:rPr>
          <w:rFonts w:ascii="Times New Roman" w:eastAsia="Times New Roman" w:hAnsi="Times New Roman" w:cs="Times New Roman"/>
          <w:b/>
          <w:color w:val="000000"/>
        </w:rPr>
      </w:pPr>
      <w:bookmarkStart w:id="7" w:name="_heading=h.tm4zkf6izpbt" w:colFirst="0" w:colLast="0"/>
      <w:bookmarkEnd w:id="7"/>
      <w:r w:rsidRPr="005C1C89">
        <w:rPr>
          <w:rFonts w:ascii="Times New Roman" w:eastAsia="Times New Roman" w:hAnsi="Times New Roman" w:cs="Times New Roman"/>
          <w:b/>
          <w:color w:val="000000"/>
        </w:rPr>
        <w:t>References</w:t>
      </w:r>
    </w:p>
    <w:p w14:paraId="4A813810" w14:textId="77777777" w:rsidR="00392DB2" w:rsidRPr="005C1C89" w:rsidRDefault="00392DB2">
      <w:pPr>
        <w:widowControl w:val="0"/>
        <w:ind w:left="709" w:hanging="720"/>
        <w:jc w:val="both"/>
        <w:rPr>
          <w:rFonts w:ascii="Times New Roman" w:eastAsia="Times New Roman" w:hAnsi="Times New Roman" w:cs="Times New Roman"/>
        </w:rPr>
      </w:pPr>
    </w:p>
    <w:p w14:paraId="6B0C174E" w14:textId="77777777" w:rsidR="005C1C89" w:rsidRPr="005C1C89" w:rsidRDefault="003C060B" w:rsidP="000A2B35">
      <w:pPr>
        <w:pStyle w:val="Bibliografa3"/>
        <w:spacing w:line="240" w:lineRule="auto"/>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0A2B35">
      <w:pPr>
        <w:pStyle w:val="Bibliografa3"/>
        <w:spacing w:line="240" w:lineRule="auto"/>
      </w:pPr>
      <w:r w:rsidRPr="005C1C89">
        <w:t>2.</w:t>
      </w:r>
      <w:r w:rsidRPr="005C1C89">
        <w:tab/>
        <w:t xml:space="preserve">Matthew, W. D. Climate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0A2B35">
      <w:pPr>
        <w:pStyle w:val="Bibliografa3"/>
        <w:spacing w:line="240" w:lineRule="auto"/>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0A2B35">
      <w:pPr>
        <w:pStyle w:val="Bibliografa3"/>
        <w:spacing w:line="240" w:lineRule="auto"/>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0A2B35">
      <w:pPr>
        <w:pStyle w:val="Bibliografa3"/>
        <w:spacing w:line="240" w:lineRule="auto"/>
      </w:pPr>
      <w:r w:rsidRPr="005C1C89">
        <w:lastRenderedPageBreak/>
        <w:t>5.</w:t>
      </w:r>
      <w:r w:rsidRPr="005C1C89">
        <w:tab/>
        <w:t xml:space="preserve">Allee, W. C. Distribution of Animals in a Tropical Rain-Forest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0A2B35">
      <w:pPr>
        <w:pStyle w:val="Bibliografa3"/>
        <w:spacing w:line="240" w:lineRule="auto"/>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0A2B35">
      <w:pPr>
        <w:pStyle w:val="Bibliografa3"/>
        <w:spacing w:line="240" w:lineRule="auto"/>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0A2B35">
      <w:pPr>
        <w:pStyle w:val="Bibliografa3"/>
        <w:spacing w:line="240" w:lineRule="auto"/>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0A2B35">
      <w:pPr>
        <w:pStyle w:val="Bibliografa3"/>
        <w:spacing w:line="240" w:lineRule="auto"/>
      </w:pPr>
      <w:r w:rsidRPr="005C1C89">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0A2B35">
      <w:pPr>
        <w:pStyle w:val="Bibliografa3"/>
        <w:spacing w:line="240" w:lineRule="auto"/>
      </w:pPr>
      <w:r w:rsidRPr="005C1C89">
        <w:t>10.</w:t>
      </w:r>
      <w:r w:rsidRPr="005C1C89">
        <w:tab/>
        <w:t xml:space="preserve">Harmon, L. J. An Inordinate Fondness for Eukaryotic Diversity. </w:t>
      </w:r>
      <w:r w:rsidRPr="005C1C89">
        <w:rPr>
          <w:i/>
          <w:iCs/>
        </w:rPr>
        <w:t>PLoS Biology</w:t>
      </w:r>
      <w:r w:rsidRPr="005C1C89">
        <w:t xml:space="preserve"> </w:t>
      </w:r>
      <w:r w:rsidRPr="005C1C89">
        <w:rPr>
          <w:b/>
          <w:bCs/>
        </w:rPr>
        <w:t>10</w:t>
      </w:r>
      <w:r w:rsidRPr="005C1C89">
        <w:t>, 8–11 (2012).</w:t>
      </w:r>
    </w:p>
    <w:p w14:paraId="00938D44" w14:textId="77777777" w:rsidR="005C1C89" w:rsidRPr="005C1C89" w:rsidRDefault="005C1C89" w:rsidP="000A2B35">
      <w:pPr>
        <w:pStyle w:val="Bibliografa3"/>
        <w:spacing w:line="240" w:lineRule="auto"/>
      </w:pPr>
      <w:r w:rsidRPr="005C1C89">
        <w:t>11.</w:t>
      </w:r>
      <w:r w:rsidRPr="005C1C89">
        <w:tab/>
        <w:t xml:space="preserve">Saupe,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0A2B35">
      <w:pPr>
        <w:pStyle w:val="Bibliografa3"/>
        <w:spacing w:line="240" w:lineRule="auto"/>
      </w:pPr>
      <w:r w:rsidRPr="005C1C89">
        <w:t>12.</w:t>
      </w:r>
      <w:r w:rsidRPr="005C1C89">
        <w:tab/>
        <w:t xml:space="preserve">Humboldt, A. von &amp; Bonpland, A. </w:t>
      </w:r>
      <w:r w:rsidRPr="005C1C89">
        <w:rPr>
          <w:i/>
          <w:iCs/>
        </w:rPr>
        <w:t>Essai sur la géographie des plantes</w:t>
      </w:r>
      <w:r w:rsidRPr="005C1C89">
        <w:t>. (Schoell, 1807).</w:t>
      </w:r>
    </w:p>
    <w:p w14:paraId="6F20B485" w14:textId="77777777" w:rsidR="005C1C89" w:rsidRPr="005C1C89" w:rsidRDefault="005C1C89" w:rsidP="000A2B35">
      <w:pPr>
        <w:pStyle w:val="Bibliografa3"/>
        <w:spacing w:line="240" w:lineRule="auto"/>
      </w:pPr>
      <w:r w:rsidRPr="005C1C89">
        <w:t>13.</w:t>
      </w:r>
      <w:r w:rsidRPr="005C1C89">
        <w:tab/>
        <w:t xml:space="preserve">Darwin, C. </w:t>
      </w:r>
      <w:r w:rsidRPr="005C1C89">
        <w:rPr>
          <w:i/>
          <w:iCs/>
        </w:rPr>
        <w:t>On the Origin of Species by Means of Natural Selection, or the Preservation of Favoured Races in the Struggle for Life</w:t>
      </w:r>
      <w:r w:rsidRPr="005C1C89">
        <w:t>. (John Murray, 1859).</w:t>
      </w:r>
    </w:p>
    <w:p w14:paraId="54BA3645" w14:textId="77777777" w:rsidR="005C1C89" w:rsidRPr="005C1C89" w:rsidRDefault="005C1C89" w:rsidP="000A2B35">
      <w:pPr>
        <w:pStyle w:val="Bibliografa3"/>
        <w:spacing w:line="240" w:lineRule="auto"/>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0A2B35">
      <w:pPr>
        <w:pStyle w:val="Bibliografa3"/>
        <w:spacing w:line="240" w:lineRule="auto"/>
      </w:pPr>
      <w:r w:rsidRPr="005C1C89">
        <w:t>15.</w:t>
      </w:r>
      <w:r w:rsidRPr="005C1C89">
        <w:tab/>
        <w:t xml:space="preserve">Futuyma, D. J. Can Modern Evolutionary Theory Explain Macroevolution? in </w:t>
      </w:r>
      <w:r w:rsidRPr="005C1C89">
        <w:rPr>
          <w:i/>
          <w:iCs/>
        </w:rPr>
        <w:t>Macroevolution: Explanation, Interpretation and Evidence</w:t>
      </w:r>
      <w:r w:rsidRPr="005C1C89">
        <w:t xml:space="preserve"> (eds. Serrelli, E. &amp; Gontier, N.) vol. 2 (Springer International Publishing, 2015).</w:t>
      </w:r>
    </w:p>
    <w:p w14:paraId="2F9A5743" w14:textId="77777777" w:rsidR="005C1C89" w:rsidRPr="005C1C89" w:rsidRDefault="005C1C89" w:rsidP="000A2B35">
      <w:pPr>
        <w:pStyle w:val="Bibliografa3"/>
        <w:spacing w:line="240" w:lineRule="auto"/>
      </w:pPr>
      <w:r w:rsidRPr="005C1C89">
        <w:t>16.</w:t>
      </w:r>
      <w:r w:rsidRPr="005C1C89">
        <w:tab/>
        <w:t xml:space="preserve">Ricklefs,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0A2B35">
      <w:pPr>
        <w:pStyle w:val="Bibliografa3"/>
        <w:spacing w:line="240" w:lineRule="auto"/>
      </w:pPr>
      <w:r w:rsidRPr="005C1C89">
        <w:t>17.</w:t>
      </w:r>
      <w:r w:rsidRPr="005C1C89">
        <w:tab/>
        <w:t xml:space="preserve">Mittelbach, G. G. </w:t>
      </w:r>
      <w:r w:rsidRPr="005C1C89">
        <w:rPr>
          <w:i/>
          <w:iCs/>
        </w:rPr>
        <w:t>et al.</w:t>
      </w:r>
      <w:r w:rsidRPr="005C1C89">
        <w:t xml:space="preserve"> Evolution and the latitudinal diversity gradient: Speciation, extinction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0A2B35">
      <w:pPr>
        <w:pStyle w:val="Bibliografa3"/>
        <w:spacing w:line="240" w:lineRule="auto"/>
      </w:pPr>
      <w:r w:rsidRPr="005C1C89">
        <w:t>18.</w:t>
      </w:r>
      <w:r w:rsidRPr="005C1C89">
        <w:tab/>
        <w:t xml:space="preserve">Wiens, J. J. The causes of species richness patterns across space, time, and clades and the role of ‘ecological limits’.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0A2B35">
      <w:pPr>
        <w:pStyle w:val="Bibliografa3"/>
        <w:spacing w:line="240" w:lineRule="auto"/>
      </w:pPr>
      <w:r w:rsidRPr="005C1C89">
        <w:t>19.</w:t>
      </w:r>
      <w:r w:rsidRPr="005C1C89">
        <w:tab/>
        <w:t xml:space="preserve">Ricklefs,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0A2B35">
      <w:pPr>
        <w:pStyle w:val="Bibliografa3"/>
        <w:spacing w:line="240" w:lineRule="auto"/>
      </w:pPr>
      <w:r w:rsidRPr="005C1C89">
        <w:t>20.</w:t>
      </w:r>
      <w:r w:rsidRPr="005C1C89">
        <w:tab/>
        <w:t xml:space="preserve">Ricklefs,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0A2B35">
      <w:pPr>
        <w:pStyle w:val="Bibliografa3"/>
        <w:spacing w:line="240" w:lineRule="auto"/>
      </w:pPr>
      <w:r w:rsidRPr="005C1C89">
        <w:t>21.</w:t>
      </w:r>
      <w:r w:rsidRPr="005C1C89">
        <w:tab/>
        <w:t xml:space="preserve">Rabosky,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0A2B35">
      <w:pPr>
        <w:pStyle w:val="Bibliografa3"/>
        <w:spacing w:line="240" w:lineRule="auto"/>
      </w:pPr>
      <w:r w:rsidRPr="005C1C89">
        <w:t>22.</w:t>
      </w:r>
      <w:r w:rsidRPr="005C1C89">
        <w:tab/>
        <w:t xml:space="preserve">Schemske, D. W., Mittelbach,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0A2B35">
      <w:pPr>
        <w:pStyle w:val="Bibliografa3"/>
        <w:spacing w:line="240" w:lineRule="auto"/>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0A2B35">
      <w:pPr>
        <w:pStyle w:val="Bibliografa3"/>
        <w:spacing w:line="240" w:lineRule="auto"/>
      </w:pPr>
      <w:r w:rsidRPr="005C1C89">
        <w:t>24.</w:t>
      </w:r>
      <w:r w:rsidRPr="005C1C89">
        <w:tab/>
        <w:t xml:space="preserve">Stephens, P. R. &amp; Wiens, J. J. Explaining species richness from continents to communities: The time-for-speciation effect in emydid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0A2B35">
      <w:pPr>
        <w:pStyle w:val="Bibliografa3"/>
        <w:spacing w:line="240" w:lineRule="auto"/>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0A2B35">
      <w:pPr>
        <w:pStyle w:val="Bibliografa3"/>
        <w:spacing w:line="240" w:lineRule="auto"/>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0A2B35">
      <w:pPr>
        <w:pStyle w:val="Bibliografa3"/>
        <w:spacing w:line="240" w:lineRule="auto"/>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0A2B35">
      <w:pPr>
        <w:pStyle w:val="Bibliografa3"/>
        <w:spacing w:line="240" w:lineRule="auto"/>
      </w:pPr>
      <w:r w:rsidRPr="005C1C89">
        <w:lastRenderedPageBreak/>
        <w:t>28.</w:t>
      </w:r>
      <w:r w:rsidRPr="005C1C89">
        <w:tab/>
        <w:t xml:space="preserve">Allen, A. P., Gillooly,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0A2B35">
      <w:pPr>
        <w:pStyle w:val="Bibliografa3"/>
        <w:spacing w:line="240" w:lineRule="auto"/>
      </w:pPr>
      <w:r w:rsidRPr="005C1C89">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0A2B35">
      <w:pPr>
        <w:pStyle w:val="Bibliografa3"/>
        <w:spacing w:line="240" w:lineRule="auto"/>
      </w:pPr>
      <w:r w:rsidRPr="005C1C89">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0A2B35">
      <w:pPr>
        <w:pStyle w:val="Bibliografa3"/>
        <w:spacing w:line="240" w:lineRule="auto"/>
      </w:pPr>
      <w:r w:rsidRPr="005C1C89">
        <w:t>31.</w:t>
      </w:r>
      <w:r w:rsidRPr="005C1C89">
        <w:tab/>
        <w:t xml:space="preserve">Badgley,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0A2B35">
      <w:pPr>
        <w:pStyle w:val="Bibliografa3"/>
        <w:spacing w:line="240" w:lineRule="auto"/>
      </w:pPr>
      <w:r w:rsidRPr="005C1C89">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0A2B35">
      <w:pPr>
        <w:pStyle w:val="Bibliografa3"/>
        <w:spacing w:line="240" w:lineRule="auto"/>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r w:rsidRPr="005C1C89">
        <w:rPr>
          <w:i/>
          <w:iCs/>
        </w:rPr>
        <w:t>iScience</w:t>
      </w:r>
      <w:r w:rsidRPr="005C1C89">
        <w:t xml:space="preserve"> </w:t>
      </w:r>
      <w:r w:rsidRPr="005C1C89">
        <w:rPr>
          <w:b/>
          <w:bCs/>
        </w:rPr>
        <w:t>24</w:t>
      </w:r>
      <w:r w:rsidRPr="005C1C89">
        <w:t>, 102239 (2021).</w:t>
      </w:r>
    </w:p>
    <w:p w14:paraId="167EE7C8" w14:textId="77777777" w:rsidR="005C1C89" w:rsidRPr="005C1C89" w:rsidRDefault="005C1C89" w:rsidP="000A2B35">
      <w:pPr>
        <w:pStyle w:val="Bibliografa3"/>
        <w:spacing w:line="240" w:lineRule="auto"/>
      </w:pPr>
      <w:r w:rsidRPr="005C1C89">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0A2B35">
      <w:pPr>
        <w:pStyle w:val="Bibliografa3"/>
        <w:spacing w:line="240" w:lineRule="auto"/>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0A2B35">
      <w:pPr>
        <w:pStyle w:val="Bibliografa3"/>
        <w:spacing w:line="240" w:lineRule="auto"/>
      </w:pPr>
      <w:r w:rsidRPr="005C1C89">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0A2B35">
      <w:pPr>
        <w:pStyle w:val="Bibliografa3"/>
        <w:spacing w:line="240" w:lineRule="auto"/>
      </w:pPr>
      <w:r w:rsidRPr="005C1C89">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0A2B35">
      <w:pPr>
        <w:pStyle w:val="Bibliografa3"/>
        <w:spacing w:line="240" w:lineRule="auto"/>
      </w:pPr>
      <w:r w:rsidRPr="005C1C89">
        <w:t>38.</w:t>
      </w:r>
      <w:r w:rsidRPr="005C1C89">
        <w:tab/>
        <w:t xml:space="preserve">Redding, D. W. &amp; Mooers,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0A2B35">
      <w:pPr>
        <w:pStyle w:val="Bibliografa3"/>
        <w:spacing w:line="240" w:lineRule="auto"/>
      </w:pPr>
      <w:r w:rsidRPr="005C1C89">
        <w:t>39.</w:t>
      </w:r>
      <w:r w:rsidRPr="005C1C89">
        <w:tab/>
        <w:t xml:space="preserve">Fritz, S. A. &amp; Rahbek,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0A2B35">
      <w:pPr>
        <w:pStyle w:val="Bibliografa3"/>
        <w:spacing w:line="240" w:lineRule="auto"/>
      </w:pPr>
      <w:r w:rsidRPr="005C1C89">
        <w:t>40.</w:t>
      </w:r>
      <w:r w:rsidRPr="005C1C89">
        <w:tab/>
        <w:t xml:space="preserve">Rodrigues, A. S. L., Brooks, T. M. &amp; Gaston, K. J. Integrating phylogenetic diversity in the selection of priority areas for conservation: does it make a difference? in </w:t>
      </w:r>
      <w:r w:rsidRPr="005C1C89">
        <w:rPr>
          <w:i/>
          <w:iCs/>
        </w:rPr>
        <w:t>Phylogeny and Conservation</w:t>
      </w:r>
      <w:r w:rsidRPr="005C1C89">
        <w:t xml:space="preserve"> (eds. Purvis, A., Gittleman, J. L. &amp; Brooks, T.) (Cambridge University Press, 2005).</w:t>
      </w:r>
    </w:p>
    <w:p w14:paraId="17458FFB" w14:textId="77777777" w:rsidR="005C1C89" w:rsidRPr="005C1C89" w:rsidRDefault="005C1C89" w:rsidP="000A2B35">
      <w:pPr>
        <w:pStyle w:val="Bibliografa3"/>
        <w:spacing w:line="240" w:lineRule="auto"/>
      </w:pPr>
      <w:r w:rsidRPr="005C1C89">
        <w:t>41.</w:t>
      </w:r>
      <w:r w:rsidRPr="005C1C89">
        <w:tab/>
        <w:t xml:space="preserve">Tucker, C. M. &amp; Cadotte,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0A2B35">
      <w:pPr>
        <w:pStyle w:val="Bibliografa3"/>
        <w:spacing w:line="240" w:lineRule="auto"/>
      </w:pPr>
      <w:r w:rsidRPr="005C1C89">
        <w:t>42.</w:t>
      </w:r>
      <w:r w:rsidRPr="005C1C89">
        <w:tab/>
        <w:t xml:space="preserve">Velasco, J. A. &amp; Pinto-Ledezma,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0A2B35">
      <w:pPr>
        <w:pStyle w:val="Bibliografa3"/>
        <w:spacing w:line="240" w:lineRule="auto"/>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0A2B35">
      <w:pPr>
        <w:pStyle w:val="Bibliografa3"/>
        <w:spacing w:line="240" w:lineRule="auto"/>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0A2B35">
      <w:pPr>
        <w:pStyle w:val="Bibliografa3"/>
        <w:spacing w:line="240" w:lineRule="auto"/>
      </w:pPr>
      <w:r w:rsidRPr="005C1C89">
        <w:t>45.</w:t>
      </w:r>
      <w:r w:rsidRPr="005C1C89">
        <w:tab/>
        <w:t xml:space="preserve">Voskamp,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0A2B35">
      <w:pPr>
        <w:pStyle w:val="Bibliografa3"/>
        <w:spacing w:line="240" w:lineRule="auto"/>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Nat Commun</w:t>
      </w:r>
      <w:r w:rsidRPr="005C1C89">
        <w:t xml:space="preserve"> </w:t>
      </w:r>
      <w:r w:rsidRPr="005C1C89">
        <w:rPr>
          <w:b/>
          <w:bCs/>
        </w:rPr>
        <w:t>11</w:t>
      </w:r>
      <w:r w:rsidRPr="005C1C89">
        <w:t>, 2616 (2020).</w:t>
      </w:r>
    </w:p>
    <w:p w14:paraId="2E9CABAF" w14:textId="77777777" w:rsidR="005C1C89" w:rsidRPr="005C1C89" w:rsidRDefault="005C1C89" w:rsidP="000A2B35">
      <w:pPr>
        <w:pStyle w:val="Bibliografa3"/>
        <w:spacing w:line="240" w:lineRule="auto"/>
      </w:pPr>
      <w:r w:rsidRPr="005C1C89">
        <w:lastRenderedPageBreak/>
        <w:t>47.</w:t>
      </w:r>
      <w:r w:rsidRPr="005C1C89">
        <w:tab/>
        <w:t xml:space="preserve">Vásquez-Restrepo, J. D., Ochoa-Ochoa, L. M., Flores-Villela,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0A2B35">
      <w:pPr>
        <w:pStyle w:val="Bibliografa3"/>
        <w:spacing w:line="240" w:lineRule="auto"/>
      </w:pPr>
      <w:r w:rsidRPr="005C1C89">
        <w:t>48.</w:t>
      </w:r>
      <w:r w:rsidRPr="005C1C89">
        <w:tab/>
        <w:t>IUCN. The IUCN Red List of Threatened Species. Version 2022-2. https://www.iucnredlist.org (2022).</w:t>
      </w:r>
    </w:p>
    <w:p w14:paraId="1E05B6CF" w14:textId="77777777" w:rsidR="005C1C89" w:rsidRPr="005C1C89" w:rsidRDefault="005C1C89" w:rsidP="000A2B35">
      <w:pPr>
        <w:pStyle w:val="Bibliografa3"/>
        <w:spacing w:line="240" w:lineRule="auto"/>
      </w:pPr>
      <w:r w:rsidRPr="005C1C89">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0A2B35">
      <w:pPr>
        <w:pStyle w:val="Bibliografa3"/>
        <w:spacing w:line="240" w:lineRule="auto"/>
      </w:pPr>
      <w:r w:rsidRPr="005C1C89">
        <w:t>50.</w:t>
      </w:r>
      <w:r w:rsidRPr="005C1C89">
        <w:tab/>
        <w:t xml:space="preserve">Jetz,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0A2B35">
      <w:pPr>
        <w:pStyle w:val="Bibliografa3"/>
        <w:spacing w:line="240" w:lineRule="auto"/>
      </w:pPr>
      <w:r w:rsidRPr="005C1C89">
        <w:t>51.</w:t>
      </w:r>
      <w:r w:rsidRPr="005C1C89">
        <w:tab/>
        <w:t xml:space="preserve">Jetz, W., Thomas, G. H., Joy, J. B., Hartmann, K. &amp; Mooers,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0A2B35">
      <w:pPr>
        <w:pStyle w:val="Bibliografa3"/>
        <w:spacing w:line="240" w:lineRule="auto"/>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0A2B35">
      <w:pPr>
        <w:pStyle w:val="Bibliografa3"/>
        <w:spacing w:line="240" w:lineRule="auto"/>
      </w:pPr>
      <w:r w:rsidRPr="005C1C89">
        <w:t>53.</w:t>
      </w:r>
      <w:r w:rsidRPr="005C1C89">
        <w:tab/>
        <w:t xml:space="preserve">Upham, N. S., Esselstyn, J. A. &amp; Jetz, W. Inferring the mammal tree: Species-level sets of phylogenies for questions in ecology, evolution, and conservation. </w:t>
      </w:r>
      <w:r w:rsidRPr="005C1C89">
        <w:rPr>
          <w:i/>
          <w:iCs/>
        </w:rPr>
        <w:t>PLoS Biology</w:t>
      </w:r>
      <w:r w:rsidRPr="005C1C89">
        <w:t xml:space="preserve"> </w:t>
      </w:r>
      <w:r w:rsidRPr="005C1C89">
        <w:rPr>
          <w:b/>
          <w:bCs/>
        </w:rPr>
        <w:t>17</w:t>
      </w:r>
      <w:r w:rsidRPr="005C1C89">
        <w:t>, 1–44 (2019).</w:t>
      </w:r>
    </w:p>
    <w:p w14:paraId="33B9DD7A" w14:textId="77777777" w:rsidR="005C1C89" w:rsidRPr="005C1C89" w:rsidRDefault="005C1C89" w:rsidP="000A2B35">
      <w:pPr>
        <w:pStyle w:val="Bibliografa3"/>
        <w:spacing w:line="240" w:lineRule="auto"/>
      </w:pPr>
      <w:r w:rsidRPr="005C1C89">
        <w:t>54.</w:t>
      </w:r>
      <w:r w:rsidRPr="005C1C89">
        <w:tab/>
        <w:t xml:space="preserve">Tonini, J. F. R., Beard, K. H., Ferreira, R. B., Jetz, W. &amp; Pyron, R. A. Fully-sampled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0A2B35">
      <w:pPr>
        <w:pStyle w:val="Bibliografa3"/>
        <w:spacing w:line="240" w:lineRule="auto"/>
      </w:pPr>
      <w:r w:rsidRPr="005C1C89">
        <w:t>55.</w:t>
      </w:r>
      <w:r w:rsidRPr="005C1C89">
        <w:tab/>
        <w:t xml:space="preserve">Title, P. O., Swiderski, D. L. &amp; Zelditch, M. L. EcoPhyloMapper: An r package for integrating geographical ranges, phylogeny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0A2B35">
      <w:pPr>
        <w:pStyle w:val="Bibliografa3"/>
        <w:spacing w:line="240" w:lineRule="auto"/>
      </w:pPr>
      <w:r w:rsidRPr="005C1C89">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0A2B35">
      <w:pPr>
        <w:pStyle w:val="Bibliografa3"/>
        <w:spacing w:line="240" w:lineRule="auto"/>
      </w:pPr>
      <w:r w:rsidRPr="005C1C89">
        <w:t>57.</w:t>
      </w:r>
      <w:r w:rsidRPr="005C1C89">
        <w:tab/>
        <w:t>Ren, K. rlist: A toolbox for non-tabular data manipulation. (2021).</w:t>
      </w:r>
    </w:p>
    <w:p w14:paraId="1DC01EE8" w14:textId="77777777" w:rsidR="005C1C89" w:rsidRPr="005C1C89" w:rsidRDefault="005C1C89" w:rsidP="000A2B35">
      <w:pPr>
        <w:pStyle w:val="Bibliografa3"/>
        <w:spacing w:line="240" w:lineRule="auto"/>
      </w:pPr>
      <w:r w:rsidRPr="005C1C89">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0A2B35">
      <w:pPr>
        <w:pStyle w:val="Bibliografa3"/>
        <w:spacing w:line="240" w:lineRule="auto"/>
      </w:pPr>
      <w:r w:rsidRPr="005C1C89">
        <w:t>59.</w:t>
      </w:r>
      <w:r w:rsidRPr="005C1C89">
        <w:tab/>
        <w:t>Collyer, M. L. &amp; Adams, D. C. RRPP: Linear Model Evaluation with Randomized Residuals in a Permutation Procedure. (2022).</w:t>
      </w:r>
    </w:p>
    <w:p w14:paraId="1BC7A4E0" w14:textId="77777777" w:rsidR="005C1C89" w:rsidRPr="005C1C89" w:rsidRDefault="005C1C89" w:rsidP="000A2B35">
      <w:pPr>
        <w:pStyle w:val="Bibliografa3"/>
        <w:spacing w:line="240" w:lineRule="auto"/>
      </w:pPr>
      <w:r w:rsidRPr="005C1C89">
        <w:t>60.</w:t>
      </w:r>
      <w:r w:rsidRPr="005C1C89">
        <w:tab/>
        <w:t xml:space="preserve">Paradis, E. &amp; Schliep,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0A2B35">
      <w:pPr>
        <w:pStyle w:val="Bibliografa3"/>
        <w:spacing w:line="240" w:lineRule="auto"/>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0A2B35">
      <w:pPr>
        <w:pStyle w:val="Bibliografa3"/>
        <w:spacing w:line="240" w:lineRule="auto"/>
      </w:pPr>
      <w:r w:rsidRPr="005C1C89">
        <w:t>62.</w:t>
      </w:r>
      <w:r w:rsidRPr="005C1C89">
        <w:tab/>
        <w:t xml:space="preserve">Revell, L. J. phytools: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0A2B35">
      <w:pPr>
        <w:pStyle w:val="Bibliografa3"/>
        <w:spacing w:line="240" w:lineRule="auto"/>
      </w:pPr>
      <w:r w:rsidRPr="005C1C89">
        <w:t>63.</w:t>
      </w:r>
      <w:r w:rsidRPr="005C1C89">
        <w:tab/>
        <w:t xml:space="preserve">Fick, S. E. &amp; Hijmans, R. J. WorldClim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0A2B35">
      <w:pPr>
        <w:pStyle w:val="Bibliografa3"/>
        <w:spacing w:line="240" w:lineRule="auto"/>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0A2B35">
      <w:pPr>
        <w:pStyle w:val="Bibliografa3"/>
        <w:spacing w:line="240" w:lineRule="auto"/>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0A2B35">
      <w:pPr>
        <w:pStyle w:val="Bibliografa3"/>
        <w:spacing w:line="240" w:lineRule="auto"/>
      </w:pPr>
      <w:r w:rsidRPr="005C1C89">
        <w:lastRenderedPageBreak/>
        <w:t>66.</w:t>
      </w:r>
      <w:r w:rsidRPr="005C1C89">
        <w:tab/>
        <w:t xml:space="preserve">Title, P. O. &amp; Bemmels, J. B. ENVIREM: an expanded set of bioclimatic and topographic variables increases flexibility and improves performance of ecological niche modeling. </w:t>
      </w:r>
      <w:r w:rsidRPr="005C1C89">
        <w:rPr>
          <w:i/>
          <w:iCs/>
        </w:rPr>
        <w:t>Ecography</w:t>
      </w:r>
      <w:r w:rsidRPr="005C1C89">
        <w:t xml:space="preserve"> </w:t>
      </w:r>
      <w:r w:rsidRPr="005C1C89">
        <w:rPr>
          <w:b/>
          <w:bCs/>
        </w:rPr>
        <w:t>41</w:t>
      </w:r>
      <w:r w:rsidRPr="005C1C89">
        <w:t>, 291–307 (2018).</w:t>
      </w:r>
    </w:p>
    <w:p w14:paraId="24645ECE" w14:textId="77777777" w:rsidR="005C1C89" w:rsidRPr="005C1C89" w:rsidRDefault="005C1C89" w:rsidP="000A2B35">
      <w:pPr>
        <w:pStyle w:val="Bibliografa3"/>
        <w:spacing w:line="240" w:lineRule="auto"/>
      </w:pPr>
      <w:r w:rsidRPr="005C1C89">
        <w:t>67.</w:t>
      </w:r>
      <w:r w:rsidRPr="005C1C89">
        <w:tab/>
        <w:t xml:space="preserve">Lillegraven,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0A2B35">
      <w:pPr>
        <w:pStyle w:val="Bibliografa3"/>
        <w:spacing w:line="240" w:lineRule="auto"/>
      </w:pPr>
      <w:r w:rsidRPr="005C1C89">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r w:rsidRPr="005C1C89">
        <w:rPr>
          <w:i/>
          <w:iCs/>
        </w:rPr>
        <w:t>Palaeogeography, Palaeoclimatology, Palaeoecology</w:t>
      </w:r>
      <w:r w:rsidRPr="005C1C89">
        <w:t xml:space="preserve"> </w:t>
      </w:r>
      <w:r w:rsidRPr="005C1C89">
        <w:rPr>
          <w:b/>
          <w:bCs/>
        </w:rPr>
        <w:t>372</w:t>
      </w:r>
      <w:r w:rsidRPr="005C1C89">
        <w:t>, 88–107 (2013).</w:t>
      </w:r>
    </w:p>
    <w:p w14:paraId="41A6F165" w14:textId="77777777" w:rsidR="005C1C89" w:rsidRPr="005C1C89" w:rsidRDefault="005C1C89" w:rsidP="000A2B35">
      <w:pPr>
        <w:pStyle w:val="Bibliografa3"/>
        <w:spacing w:line="240" w:lineRule="auto"/>
      </w:pPr>
      <w:r w:rsidRPr="005C1C89">
        <w:t>69.</w:t>
      </w:r>
      <w:r w:rsidRPr="005C1C89">
        <w:tab/>
        <w:t xml:space="preserve">Claramunt, S. &amp; Cracraft,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0A2B35">
      <w:pPr>
        <w:pStyle w:val="Bibliografa3"/>
        <w:spacing w:line="240" w:lineRule="auto"/>
      </w:pPr>
      <w:r w:rsidRPr="005C1C89">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0A2B35">
      <w:pPr>
        <w:pStyle w:val="Bibliografa3"/>
        <w:spacing w:line="240" w:lineRule="auto"/>
      </w:pPr>
      <w:r w:rsidRPr="005C1C89">
        <w:t>71.</w:t>
      </w:r>
      <w:r w:rsidRPr="005C1C89">
        <w:tab/>
        <w:t xml:space="preserve">Weir, J. T., Bermingham,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0A2B35">
      <w:pPr>
        <w:pStyle w:val="Bibliografa3"/>
        <w:spacing w:line="240" w:lineRule="auto"/>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0A2B35">
      <w:pPr>
        <w:pStyle w:val="Bibliografa3"/>
        <w:spacing w:line="240" w:lineRule="auto"/>
      </w:pPr>
      <w:r w:rsidRPr="005C1C89">
        <w:t>73.</w:t>
      </w:r>
      <w:r w:rsidRPr="005C1C89">
        <w:tab/>
        <w:t xml:space="preserve">Jønsson, K. A. &amp; Fjeldså, J. Determining biogeographical patterns of dispersal and diversification in oscine passerine birds in Australia, Southeast Asia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0A2B35">
      <w:pPr>
        <w:pStyle w:val="Bibliografa3"/>
        <w:spacing w:line="240" w:lineRule="auto"/>
      </w:pPr>
      <w:r w:rsidRPr="005C1C89">
        <w:t>74.</w:t>
      </w:r>
      <w:r w:rsidRPr="005C1C89">
        <w:tab/>
        <w:t xml:space="preserve">Sheldon, F. H., Lim, H. C. &amp; Moyle, R. G. Return to the Malay Archipelago: the biogeography of Sundaic rainforest birds. </w:t>
      </w:r>
      <w:r w:rsidRPr="005C1C89">
        <w:rPr>
          <w:i/>
          <w:iCs/>
        </w:rPr>
        <w:t>J Ornithol</w:t>
      </w:r>
      <w:r w:rsidRPr="005C1C89">
        <w:t xml:space="preserve"> </w:t>
      </w:r>
      <w:r w:rsidRPr="005C1C89">
        <w:rPr>
          <w:b/>
          <w:bCs/>
        </w:rPr>
        <w:t>156</w:t>
      </w:r>
      <w:r w:rsidRPr="005C1C89">
        <w:t>, 91–113 (2015).</w:t>
      </w:r>
    </w:p>
    <w:p w14:paraId="20337048" w14:textId="77777777" w:rsidR="005C1C89" w:rsidRPr="005C1C89" w:rsidRDefault="005C1C89" w:rsidP="000A2B35">
      <w:pPr>
        <w:pStyle w:val="Bibliografa3"/>
        <w:spacing w:line="240" w:lineRule="auto"/>
      </w:pPr>
      <w:r w:rsidRPr="005C1C89">
        <w:t>75.</w:t>
      </w:r>
      <w:r w:rsidRPr="005C1C89">
        <w:tab/>
        <w:t xml:space="preserve">Jønsson, K. A., Fjeldså, J., Ericson, P. G. P. &amp; Irestedt, M. Systematic placement of an enigmatic Southeast Asian taxon </w:t>
      </w:r>
      <w:r w:rsidRPr="005C1C89">
        <w:rPr>
          <w:i/>
          <w:iCs/>
        </w:rPr>
        <w:t>Eupetes macrocerus</w:t>
      </w:r>
      <w:r w:rsidRPr="005C1C89">
        <w:t xml:space="preserve"> and implications for the biogeography of a main songbird radiation, the Passerida.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0A2B35">
      <w:pPr>
        <w:pStyle w:val="Bibliografa3"/>
        <w:spacing w:line="240" w:lineRule="auto"/>
      </w:pPr>
      <w:r w:rsidRPr="005C1C89">
        <w:t>76.</w:t>
      </w:r>
      <w:r w:rsidRPr="005C1C89">
        <w:tab/>
        <w:t xml:space="preserve">Inger, R. F. &amp; Voris, H. K. The biogeographical relations of the frogs and snakes of Sundaland.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0A2B35">
      <w:pPr>
        <w:pStyle w:val="Bibliografa3"/>
        <w:spacing w:line="240" w:lineRule="auto"/>
      </w:pPr>
      <w:r w:rsidRPr="005C1C89">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0A2B35">
      <w:pPr>
        <w:pStyle w:val="Bibliografa3"/>
        <w:spacing w:line="240" w:lineRule="auto"/>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0A2B35">
      <w:pPr>
        <w:pStyle w:val="Bibliografa3"/>
        <w:spacing w:line="240" w:lineRule="auto"/>
      </w:pPr>
      <w:r w:rsidRPr="005C1C89">
        <w:t>79.</w:t>
      </w:r>
      <w:r w:rsidRPr="005C1C89">
        <w:tab/>
        <w:t xml:space="preserve">Voris, H. K. Maps of Pleistocene sea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0A2B35">
      <w:pPr>
        <w:pStyle w:val="Bibliografa3"/>
        <w:spacing w:line="240" w:lineRule="auto"/>
      </w:pPr>
      <w:r w:rsidRPr="005C1C89">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0A2B35">
      <w:pPr>
        <w:pStyle w:val="Bibliografa3"/>
        <w:spacing w:line="240" w:lineRule="auto"/>
      </w:pPr>
      <w:r w:rsidRPr="005C1C89">
        <w:t>81.</w:t>
      </w:r>
      <w:r w:rsidRPr="005C1C89">
        <w:tab/>
        <w:t xml:space="preserve">Husson, L., Boucher, F. C., Sarr, A.-C., Sepulchre, P. &amp; Cahyarini, S. Y. Evidence of Sundaland’s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0A2B35">
      <w:pPr>
        <w:pStyle w:val="Bibliografa3"/>
        <w:spacing w:line="240" w:lineRule="auto"/>
      </w:pPr>
      <w:r w:rsidRPr="005C1C89">
        <w:t>82.</w:t>
      </w:r>
      <w:r w:rsidRPr="005C1C89">
        <w:tab/>
        <w:t xml:space="preserve">Van Den Bergh, G. D., De Vos, J. &amp; Sondaar, P. Y. The Late Quaternary palaeogeography of mammal evolution in the Indonesian Archipelago. </w:t>
      </w:r>
      <w:r w:rsidRPr="005C1C89">
        <w:rPr>
          <w:i/>
          <w:iCs/>
        </w:rPr>
        <w:t>Palaeogeography, Palaeoclimatology, Palaeoecology</w:t>
      </w:r>
      <w:r w:rsidRPr="005C1C89">
        <w:t xml:space="preserve"> </w:t>
      </w:r>
      <w:r w:rsidRPr="005C1C89">
        <w:rPr>
          <w:b/>
          <w:bCs/>
        </w:rPr>
        <w:t>171</w:t>
      </w:r>
      <w:r w:rsidRPr="005C1C89">
        <w:t>, 385–408 (2001).</w:t>
      </w:r>
    </w:p>
    <w:p w14:paraId="5110615E" w14:textId="77777777" w:rsidR="005C1C89" w:rsidRPr="005C1C89" w:rsidRDefault="005C1C89" w:rsidP="000A2B35">
      <w:pPr>
        <w:pStyle w:val="Bibliografa3"/>
        <w:spacing w:line="240" w:lineRule="auto"/>
      </w:pPr>
      <w:r w:rsidRPr="005C1C89">
        <w:t>83.</w:t>
      </w:r>
      <w:r w:rsidRPr="005C1C89">
        <w:tab/>
        <w:t xml:space="preserve">Meijaard,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0A2B35">
      <w:pPr>
        <w:pStyle w:val="Bibliografa3"/>
        <w:spacing w:line="240" w:lineRule="auto"/>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0A2B35">
      <w:pPr>
        <w:pStyle w:val="Bibliografa3"/>
        <w:spacing w:line="240" w:lineRule="auto"/>
      </w:pPr>
      <w:r w:rsidRPr="005C1C89">
        <w:lastRenderedPageBreak/>
        <w:t>85.</w:t>
      </w:r>
      <w:r w:rsidRPr="005C1C89">
        <w:tab/>
        <w:t xml:space="preserve">Wilting, A., Sollmann, R., Meijaard, E., Helgen, K. M. &amp; Fickel, J. Mentawai’s endemic, relictual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0A2B35">
      <w:pPr>
        <w:pStyle w:val="Bibliografa3"/>
        <w:spacing w:line="240" w:lineRule="auto"/>
      </w:pPr>
      <w:r w:rsidRPr="005C1C89">
        <w:t>86.</w:t>
      </w:r>
      <w:r w:rsidRPr="005C1C89">
        <w:tab/>
        <w:t xml:space="preserve">Pianka,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0A2B35">
      <w:pPr>
        <w:pStyle w:val="Bibliografa3"/>
        <w:spacing w:line="240" w:lineRule="auto"/>
      </w:pPr>
      <w:r w:rsidRPr="005C1C89">
        <w:t>87.</w:t>
      </w:r>
      <w:r w:rsidRPr="005C1C89">
        <w:tab/>
        <w:t xml:space="preserve">Rabosky, D. L., Donnellan, S. C., Talaba, A. L. &amp; Lovette,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0A2B35">
      <w:pPr>
        <w:pStyle w:val="Bibliografa3"/>
        <w:spacing w:line="240" w:lineRule="auto"/>
      </w:pPr>
      <w:r w:rsidRPr="005C1C89">
        <w:t>88.</w:t>
      </w:r>
      <w:r w:rsidRPr="005C1C89">
        <w:tab/>
        <w:t xml:space="preserve">Skinner, A., Hugall, A. F. &amp; Hutchinson, M. N. Lygosomine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0A2B35">
      <w:pPr>
        <w:pStyle w:val="Bibliografa3"/>
        <w:spacing w:line="240" w:lineRule="auto"/>
      </w:pPr>
      <w:r w:rsidRPr="005C1C89">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0A2B35">
      <w:pPr>
        <w:pStyle w:val="Bibliografa3"/>
        <w:spacing w:line="240" w:lineRule="auto"/>
      </w:pPr>
      <w:r w:rsidRPr="005C1C89">
        <w:t>90.</w:t>
      </w:r>
      <w:r w:rsidRPr="005C1C89">
        <w:tab/>
        <w:t xml:space="preserve">Tejero-Cicuéndez, H., Tarroso, P., Carranza, S. &amp; Rabosky,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0A2B35">
      <w:pPr>
        <w:pStyle w:val="Bibliografa3"/>
        <w:spacing w:line="240" w:lineRule="auto"/>
      </w:pPr>
      <w:r w:rsidRPr="005C1C89">
        <w:t>91.</w:t>
      </w:r>
      <w:r w:rsidRPr="005C1C89">
        <w:tab/>
        <w:t xml:space="preserve">Brennan, I. G. </w:t>
      </w:r>
      <w:r w:rsidRPr="005C1C89">
        <w:rPr>
          <w:i/>
          <w:iCs/>
        </w:rPr>
        <w:t>et al.</w:t>
      </w:r>
      <w:r w:rsidRPr="005C1C89">
        <w:t xml:space="preserve"> Populating a Continent: Phylogenomics Reveal the Timing of Australian Frog Diversification. </w:t>
      </w:r>
      <w:r w:rsidRPr="005C1C89">
        <w:rPr>
          <w:i/>
          <w:iCs/>
        </w:rPr>
        <w:t>Systematic Biology</w:t>
      </w:r>
      <w:r w:rsidRPr="005C1C89">
        <w:t xml:space="preserve"> syad048 (2023) doi:10.1093/sysbio/syad048.</w:t>
      </w:r>
    </w:p>
    <w:p w14:paraId="73C9A629" w14:textId="77777777" w:rsidR="005C1C89" w:rsidRPr="005C1C89" w:rsidRDefault="005C1C89" w:rsidP="000A2B35">
      <w:pPr>
        <w:pStyle w:val="Bibliografa3"/>
        <w:spacing w:line="240" w:lineRule="auto"/>
      </w:pPr>
      <w:r w:rsidRPr="005C1C89">
        <w:t>92.</w:t>
      </w:r>
      <w:r w:rsidRPr="005C1C89">
        <w:tab/>
        <w:t xml:space="preserve">Townsend, T. M., Leavitt, D. H. &amp; Reeder, T. W. Intercontinental dispersal by a microendemic burrowing reptile (Dibamidae).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0A2B35">
      <w:pPr>
        <w:pStyle w:val="Bibliografa3"/>
        <w:spacing w:line="240" w:lineRule="auto"/>
      </w:pPr>
      <w:r w:rsidRPr="005C1C89">
        <w:t>93.</w:t>
      </w:r>
      <w:r w:rsidRPr="005C1C89">
        <w:tab/>
        <w:t xml:space="preserve">Yonezawa, T. </w:t>
      </w:r>
      <w:r w:rsidRPr="005C1C89">
        <w:rPr>
          <w:i/>
          <w:iCs/>
        </w:rPr>
        <w:t>et al.</w:t>
      </w:r>
      <w:r w:rsidRPr="005C1C89">
        <w:t xml:space="preserve"> Phylogenomics and Morphology of Extinct Paleognaths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0A2B35">
      <w:pPr>
        <w:pStyle w:val="Bibliografa3"/>
        <w:spacing w:line="240" w:lineRule="auto"/>
      </w:pPr>
      <w:r w:rsidRPr="005C1C89">
        <w:t>94.</w:t>
      </w:r>
      <w:r w:rsidRPr="005C1C89">
        <w:tab/>
        <w:t xml:space="preserve">May-Collado, L. J., Kilpatrick, C. W. &amp; Agnarsson, I. Mammals from ‘down under’: a multi-gene species-level phylogeny of marsupial mammals (Mammalia, Metatheria). </w:t>
      </w:r>
      <w:r w:rsidRPr="005C1C89">
        <w:rPr>
          <w:i/>
          <w:iCs/>
        </w:rPr>
        <w:t>PeerJ</w:t>
      </w:r>
      <w:r w:rsidRPr="005C1C89">
        <w:t xml:space="preserve"> </w:t>
      </w:r>
      <w:r w:rsidRPr="005C1C89">
        <w:rPr>
          <w:b/>
          <w:bCs/>
        </w:rPr>
        <w:t>3</w:t>
      </w:r>
      <w:r w:rsidRPr="005C1C89">
        <w:t>, e805 (2015).</w:t>
      </w:r>
    </w:p>
    <w:p w14:paraId="3B39784D" w14:textId="77777777" w:rsidR="005C1C89" w:rsidRPr="005C1C89" w:rsidRDefault="005C1C89" w:rsidP="000A2B35">
      <w:pPr>
        <w:pStyle w:val="Bibliografa3"/>
        <w:spacing w:line="240" w:lineRule="auto"/>
      </w:pPr>
      <w:r w:rsidRPr="005C1C89">
        <w:t>95.</w:t>
      </w:r>
      <w:r w:rsidRPr="005C1C89">
        <w:tab/>
        <w:t xml:space="preserve">Moyle, R. G. </w:t>
      </w:r>
      <w:r w:rsidRPr="005C1C89">
        <w:rPr>
          <w:i/>
          <w:iCs/>
        </w:rPr>
        <w:t>et al.</w:t>
      </w:r>
      <w:r w:rsidRPr="005C1C89">
        <w:t xml:space="preserve"> Tectonic collision and uplift of Wallacea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0A2B35">
      <w:pPr>
        <w:pStyle w:val="Bibliografa3"/>
        <w:spacing w:line="240" w:lineRule="auto"/>
      </w:pPr>
      <w:r w:rsidRPr="005C1C89">
        <w:t>96.</w:t>
      </w:r>
      <w:r w:rsidRPr="005C1C89">
        <w:tab/>
        <w:t xml:space="preserve">Oliveros, C. H. </w:t>
      </w:r>
      <w:r w:rsidRPr="005C1C89">
        <w:rPr>
          <w:i/>
          <w:iCs/>
        </w:rPr>
        <w:t>et al.</w:t>
      </w:r>
      <w:r w:rsidRPr="005C1C89">
        <w:t xml:space="preserve"> Earth history and the passerine superradiation. </w:t>
      </w:r>
      <w:r w:rsidRPr="005C1C89">
        <w:rPr>
          <w:i/>
          <w:iCs/>
        </w:rPr>
        <w:t>Proceedings of the National Academy of Sciences</w:t>
      </w:r>
      <w:r w:rsidRPr="005C1C89">
        <w:t xml:space="preserve"> (2019) doi:10.1073/pnas.1813206116.</w:t>
      </w:r>
    </w:p>
    <w:p w14:paraId="05EFFD91" w14:textId="77777777" w:rsidR="005C1C89" w:rsidRPr="005C1C89" w:rsidRDefault="005C1C89" w:rsidP="000A2B35">
      <w:pPr>
        <w:pStyle w:val="Bibliografa3"/>
        <w:spacing w:line="240" w:lineRule="auto"/>
      </w:pPr>
      <w:r w:rsidRPr="005C1C89">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0A2B35">
      <w:pPr>
        <w:pStyle w:val="Bibliografa3"/>
        <w:spacing w:line="240" w:lineRule="auto"/>
      </w:pPr>
      <w:r w:rsidRPr="005C1C89">
        <w:t>98.</w:t>
      </w:r>
      <w:r w:rsidRPr="005C1C89">
        <w:tab/>
        <w:t xml:space="preserve">James, C. D. &amp; Shine, R. Why are there so many coexisting species of lizards in Australian deserts? </w:t>
      </w:r>
      <w:r w:rsidRPr="005C1C89">
        <w:rPr>
          <w:i/>
          <w:iCs/>
        </w:rPr>
        <w:t>Oecologia</w:t>
      </w:r>
      <w:r w:rsidRPr="005C1C89">
        <w:t xml:space="preserve"> </w:t>
      </w:r>
      <w:r w:rsidRPr="005C1C89">
        <w:rPr>
          <w:b/>
          <w:bCs/>
        </w:rPr>
        <w:t>125</w:t>
      </w:r>
      <w:r w:rsidRPr="005C1C89">
        <w:t>, 127–141 (2000).</w:t>
      </w:r>
    </w:p>
    <w:p w14:paraId="2F52AB7E" w14:textId="77777777" w:rsidR="005C1C89" w:rsidRPr="005C1C89" w:rsidRDefault="005C1C89" w:rsidP="000A2B35">
      <w:pPr>
        <w:pStyle w:val="Bibliografa3"/>
        <w:spacing w:line="240" w:lineRule="auto"/>
      </w:pPr>
      <w:r w:rsidRPr="005C1C89">
        <w:t>99.</w:t>
      </w:r>
      <w:r w:rsidRPr="005C1C89">
        <w:tab/>
        <w:t xml:space="preserve">Jetz, W. &amp; Rahbek,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0A2B35">
      <w:pPr>
        <w:pStyle w:val="Bibliografa3"/>
        <w:spacing w:line="240" w:lineRule="auto"/>
      </w:pPr>
      <w:r w:rsidRPr="005C1C89">
        <w:t>100.</w:t>
      </w:r>
      <w:r w:rsidRPr="005C1C89">
        <w:tab/>
        <w:t xml:space="preserve">Badgley, C. Tectonics, topography, and mammalian diversity. </w:t>
      </w:r>
      <w:r w:rsidRPr="005C1C89">
        <w:rPr>
          <w:i/>
          <w:iCs/>
        </w:rPr>
        <w:t>Ecography</w:t>
      </w:r>
      <w:r w:rsidRPr="005C1C89">
        <w:t xml:space="preserve"> </w:t>
      </w:r>
      <w:r w:rsidRPr="005C1C89">
        <w:rPr>
          <w:b/>
          <w:bCs/>
        </w:rPr>
        <w:t>33</w:t>
      </w:r>
      <w:r w:rsidRPr="005C1C89">
        <w:t>, 220–231 (2010).</w:t>
      </w:r>
    </w:p>
    <w:p w14:paraId="7032CF1A" w14:textId="77777777" w:rsidR="005C1C89" w:rsidRPr="005C1C89" w:rsidRDefault="005C1C89" w:rsidP="000A2B35">
      <w:pPr>
        <w:pStyle w:val="Bibliografa3"/>
        <w:spacing w:line="240" w:lineRule="auto"/>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0A2B35">
      <w:pPr>
        <w:pStyle w:val="Bibliografa3"/>
        <w:spacing w:line="240" w:lineRule="auto"/>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0A2B35">
      <w:pPr>
        <w:pStyle w:val="Bibliografa3"/>
        <w:spacing w:line="240" w:lineRule="auto"/>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0A2B35">
      <w:pPr>
        <w:pStyle w:val="Bibliografa3"/>
        <w:spacing w:line="240" w:lineRule="auto"/>
      </w:pPr>
      <w:r w:rsidRPr="005C1C89">
        <w:t>104.</w:t>
      </w:r>
      <w:r w:rsidRPr="005C1C89">
        <w:tab/>
        <w:t xml:space="preserve">Rahbek, C. </w:t>
      </w:r>
      <w:r w:rsidRPr="005C1C89">
        <w:rPr>
          <w:i/>
          <w:iCs/>
        </w:rPr>
        <w:t>et al.</w:t>
      </w:r>
      <w:r w:rsidRPr="005C1C89">
        <w:t xml:space="preserve"> Building mountain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0A2B35">
      <w:pPr>
        <w:pStyle w:val="Bibliografa3"/>
        <w:spacing w:line="240" w:lineRule="auto"/>
      </w:pPr>
      <w:r w:rsidRPr="005C1C89">
        <w:lastRenderedPageBreak/>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0A2B35">
      <w:pPr>
        <w:pStyle w:val="Bibliografa3"/>
        <w:spacing w:line="240" w:lineRule="auto"/>
      </w:pPr>
      <w:r w:rsidRPr="005C1C89">
        <w:t>106.</w:t>
      </w:r>
      <w:r w:rsidRPr="005C1C89">
        <w:tab/>
        <w:t xml:space="preserve">Cadena, C. D. </w:t>
      </w:r>
      <w:r w:rsidRPr="005C1C89">
        <w:rPr>
          <w:i/>
          <w:iCs/>
        </w:rPr>
        <w:t>et al.</w:t>
      </w:r>
      <w:r w:rsidRPr="005C1C89">
        <w:t xml:space="preserve"> Latitude, elevational climatic zonation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0A2B35">
      <w:pPr>
        <w:pStyle w:val="Bibliografa3"/>
        <w:spacing w:line="240" w:lineRule="auto"/>
      </w:pPr>
      <w:r w:rsidRPr="005C1C89">
        <w:t>107.</w:t>
      </w:r>
      <w:r w:rsidRPr="005C1C89">
        <w:tab/>
        <w:t xml:space="preserve">Šmíd,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0A2B35">
      <w:pPr>
        <w:pStyle w:val="Bibliografa3"/>
        <w:spacing w:line="240" w:lineRule="auto"/>
      </w:pPr>
      <w:r w:rsidRPr="005C1C89">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0A2B35">
      <w:pPr>
        <w:pStyle w:val="Bibliografa3"/>
        <w:spacing w:line="240" w:lineRule="auto"/>
      </w:pPr>
      <w:r w:rsidRPr="005C1C89">
        <w:t>109.</w:t>
      </w:r>
      <w:r w:rsidRPr="005C1C89">
        <w:tab/>
        <w:t xml:space="preserve">Hampe,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0A2B35">
      <w:pPr>
        <w:pStyle w:val="Bibliografa3"/>
        <w:spacing w:line="240" w:lineRule="auto"/>
      </w:pPr>
      <w:r w:rsidRPr="005C1C89">
        <w:t>110.</w:t>
      </w:r>
      <w:r w:rsidRPr="005C1C89">
        <w:tab/>
        <w:t xml:space="preserve">Fjeldså, J., Bowie, R. C. K. &amp; Rahbek,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0A2B35">
      <w:pPr>
        <w:pStyle w:val="Bibliografa3"/>
        <w:spacing w:line="240" w:lineRule="auto"/>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0A2B35">
      <w:pPr>
        <w:pStyle w:val="Bibliografa3"/>
        <w:spacing w:line="240" w:lineRule="auto"/>
      </w:pPr>
      <w:r w:rsidRPr="005C1C89">
        <w:t>112.</w:t>
      </w:r>
      <w:r w:rsidRPr="005C1C89">
        <w:tab/>
        <w:t xml:space="preserve">Wiens, J. J., Kozak, K. H. &amp; Silva, N. Diversity and niche evolution along aridity gradients in North American lizards (Phrynosomatidae).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0A2B35">
      <w:pPr>
        <w:pStyle w:val="Bibliografa3"/>
        <w:spacing w:line="240" w:lineRule="auto"/>
      </w:pPr>
      <w:r w:rsidRPr="005C1C89">
        <w:t>113.</w:t>
      </w:r>
      <w:r w:rsidRPr="005C1C89">
        <w:tab/>
        <w:t xml:space="preserve">Rabosky, D. L., Hutchinson, M. N., Donnellan, S. C., Talaba, A. L. &amp; Lovette, I. J. Phylogenetic disassembly of species boundaries in a widespread group of Australian skinks (Scincidae: </w:t>
      </w:r>
      <w:r w:rsidRPr="005C1C89">
        <w:rPr>
          <w:i/>
          <w:iCs/>
        </w:rPr>
        <w:t>Ctenotus</w:t>
      </w:r>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0A2B35">
      <w:pPr>
        <w:pStyle w:val="Bibliografa3"/>
        <w:spacing w:line="240" w:lineRule="auto"/>
      </w:pPr>
      <w:r w:rsidRPr="005C1C89">
        <w:t>114.</w:t>
      </w:r>
      <w:r w:rsidRPr="005C1C89">
        <w:tab/>
        <w:t xml:space="preserve">Buckley, L. B., Hurlbert, A. H. &amp; Jetz, W. Broad-scale ecological implications of ectothermy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0A2B35">
      <w:pPr>
        <w:pStyle w:val="Bibliografa3"/>
        <w:spacing w:line="240" w:lineRule="auto"/>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0A2B35">
      <w:pPr>
        <w:pStyle w:val="Bibliografa3"/>
        <w:spacing w:line="240" w:lineRule="auto"/>
      </w:pPr>
      <w:r w:rsidRPr="005C1C89">
        <w:t>116.</w:t>
      </w:r>
      <w:r w:rsidRPr="005C1C89">
        <w:tab/>
        <w:t xml:space="preserve">Seeholzer, G. F. &amp; Brumfield, R. T. Speciation-by-Extinction. </w:t>
      </w:r>
      <w:r w:rsidRPr="005C1C89">
        <w:rPr>
          <w:i/>
          <w:iCs/>
        </w:rPr>
        <w:t>Systematic Biology</w:t>
      </w:r>
      <w:r w:rsidRPr="005C1C89">
        <w:t xml:space="preserve"> syad049 (2023) doi:10.1093/sysbio/syad049.</w:t>
      </w:r>
    </w:p>
    <w:p w14:paraId="3BBD007F" w14:textId="77777777" w:rsidR="005C1C89" w:rsidRPr="005C1C89" w:rsidRDefault="005C1C89" w:rsidP="000A2B35">
      <w:pPr>
        <w:pStyle w:val="Bibliografa3"/>
        <w:spacing w:line="240" w:lineRule="auto"/>
      </w:pPr>
      <w:r w:rsidRPr="005C1C89">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0A2B35">
      <w:pPr>
        <w:pStyle w:val="Bibliografa3"/>
        <w:spacing w:line="240" w:lineRule="auto"/>
      </w:pPr>
      <w:r w:rsidRPr="005C1C89">
        <w:t>118.</w:t>
      </w:r>
      <w:r w:rsidRPr="005C1C89">
        <w:tab/>
        <w:t xml:space="preserve">Meseguer,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0A2B35">
      <w:pPr>
        <w:pStyle w:val="Bibliografa3"/>
        <w:spacing w:line="240" w:lineRule="auto"/>
      </w:pPr>
      <w:r w:rsidRPr="005C1C89">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0A2B35">
      <w:pPr>
        <w:pStyle w:val="Bibliografa3"/>
        <w:spacing w:line="240" w:lineRule="auto"/>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0A2B35">
      <w:pPr>
        <w:pStyle w:val="Bibliografa3"/>
        <w:spacing w:line="240" w:lineRule="auto"/>
      </w:pPr>
      <w:r w:rsidRPr="005C1C89">
        <w:t>121.</w:t>
      </w:r>
      <w:r w:rsidRPr="005C1C89">
        <w:tab/>
        <w:t xml:space="preserve">Brocklehurst, N., Panciroli,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0A2B35">
      <w:pPr>
        <w:pStyle w:val="Bibliografa3"/>
        <w:spacing w:line="240" w:lineRule="auto"/>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0A2B35">
      <w:pPr>
        <w:pStyle w:val="Bibliografa3"/>
        <w:spacing w:line="240" w:lineRule="auto"/>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0A2B35">
      <w:pPr>
        <w:pStyle w:val="Bibliografa3"/>
        <w:spacing w:line="240" w:lineRule="auto"/>
      </w:pPr>
      <w:r w:rsidRPr="005C1C89">
        <w:lastRenderedPageBreak/>
        <w:t>124.</w:t>
      </w:r>
      <w:r w:rsidRPr="005C1C89">
        <w:tab/>
        <w:t xml:space="preserve">Meseguer, A. S., Antoine, P.-O., Fouquet, A., Delsuc,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5C1C89" w:rsidRDefault="005C1C89" w:rsidP="000A2B35">
      <w:pPr>
        <w:pStyle w:val="Bibliografa3"/>
        <w:spacing w:line="240" w:lineRule="auto"/>
        <w:rPr>
          <w:lang w:val="es-ES_tradnl"/>
        </w:rPr>
      </w:pPr>
      <w:r w:rsidRPr="005C1C89">
        <w:t>125.</w:t>
      </w:r>
      <w:r w:rsidRPr="005C1C89">
        <w:tab/>
        <w:t xml:space="preserve">Pimiento, C. &amp; Antonelli, A. Integrating deep-time palaeontology in conservation prioritisation. </w:t>
      </w:r>
      <w:r w:rsidRPr="005C1C89">
        <w:rPr>
          <w:i/>
          <w:iCs/>
          <w:lang w:val="es-ES_tradnl"/>
        </w:rPr>
        <w:t>Frontiers in Ecology and Evolution</w:t>
      </w:r>
      <w:r w:rsidRPr="005C1C89">
        <w:rPr>
          <w:lang w:val="es-ES_tradnl"/>
        </w:rPr>
        <w:t xml:space="preserve"> </w:t>
      </w:r>
      <w:r w:rsidRPr="005C1C89">
        <w:rPr>
          <w:b/>
          <w:bCs/>
          <w:lang w:val="es-ES_tradnl"/>
        </w:rPr>
        <w:t>10</w:t>
      </w:r>
      <w:r w:rsidRPr="005C1C89">
        <w:rPr>
          <w:lang w:val="es-ES_tradnl"/>
        </w:rPr>
        <w:t>, (2022).</w:t>
      </w:r>
    </w:p>
    <w:p w14:paraId="623D8AA2" w14:textId="141B424A" w:rsidR="009D252A" w:rsidRPr="005C1C89" w:rsidRDefault="003C060B" w:rsidP="000A2B35">
      <w:pPr>
        <w:ind w:left="284" w:hanging="362"/>
        <w:jc w:val="both"/>
        <w:rPr>
          <w:rFonts w:ascii="Times New Roman" w:eastAsia="Times New Roman" w:hAnsi="Times New Roman" w:cs="Times New Roman"/>
          <w:lang w:val="es-ES"/>
        </w:rPr>
      </w:pPr>
      <w:r>
        <w:rPr>
          <w:rFonts w:ascii="Times New Roman" w:eastAsia="Times New Roman" w:hAnsi="Times New Roman" w:cs="Times New Roman"/>
        </w:rPr>
        <w:fldChar w:fldCharType="end"/>
      </w:r>
    </w:p>
    <w:p w14:paraId="6DFC4D7A" w14:textId="77777777" w:rsidR="009D252A" w:rsidRPr="005C1C89" w:rsidRDefault="009D252A">
      <w:pPr>
        <w:ind w:left="709" w:hanging="720"/>
        <w:jc w:val="both"/>
        <w:rPr>
          <w:rFonts w:ascii="Times New Roman" w:eastAsia="Times New Roman" w:hAnsi="Times New Roman" w:cs="Times New Roman"/>
          <w:lang w:val="es-ES"/>
        </w:rPr>
      </w:pPr>
    </w:p>
    <w:p w14:paraId="03353F5B" w14:textId="77777777" w:rsidR="009D252A" w:rsidRPr="005C1C89" w:rsidRDefault="009D252A">
      <w:pPr>
        <w:ind w:left="709" w:hanging="720"/>
        <w:jc w:val="both"/>
        <w:rPr>
          <w:rFonts w:ascii="Times New Roman" w:eastAsia="Times New Roman" w:hAnsi="Times New Roman" w:cs="Times New Roman"/>
          <w:lang w:val="es-ES"/>
        </w:rPr>
      </w:pPr>
    </w:p>
    <w:p w14:paraId="2CCC2741" w14:textId="77777777" w:rsidR="009D252A" w:rsidRPr="005C1C89" w:rsidRDefault="009D252A">
      <w:pPr>
        <w:ind w:left="709" w:hanging="720"/>
        <w:jc w:val="both"/>
        <w:rPr>
          <w:rFonts w:ascii="Times New Roman" w:eastAsia="Times New Roman" w:hAnsi="Times New Roman" w:cs="Times New Roman"/>
          <w:lang w:val="es-ES"/>
        </w:rPr>
      </w:pPr>
    </w:p>
    <w:p w14:paraId="2F0AAE00" w14:textId="77777777" w:rsidR="009D252A" w:rsidRPr="005C1C89" w:rsidRDefault="009D252A">
      <w:pPr>
        <w:ind w:left="709" w:hanging="720"/>
        <w:jc w:val="both"/>
        <w:rPr>
          <w:rFonts w:ascii="Times New Roman" w:eastAsia="Times New Roman" w:hAnsi="Times New Roman" w:cs="Times New Roman"/>
          <w:lang w:val="es-ES"/>
        </w:rPr>
      </w:pPr>
    </w:p>
    <w:p w14:paraId="47C2081F" w14:textId="77777777" w:rsidR="009D252A" w:rsidRPr="005C1C89" w:rsidRDefault="009D252A">
      <w:pPr>
        <w:ind w:left="709" w:hanging="720"/>
        <w:jc w:val="both"/>
        <w:rPr>
          <w:rFonts w:ascii="Times New Roman" w:eastAsia="Times New Roman" w:hAnsi="Times New Roman" w:cs="Times New Roman"/>
          <w:lang w:val="es-ES"/>
        </w:rPr>
      </w:pPr>
    </w:p>
    <w:p w14:paraId="79BE6A18" w14:textId="77777777" w:rsidR="009D252A" w:rsidRPr="005C1C89" w:rsidRDefault="009D252A">
      <w:pPr>
        <w:ind w:left="709" w:hanging="720"/>
        <w:jc w:val="both"/>
        <w:rPr>
          <w:rFonts w:ascii="Times New Roman" w:eastAsia="Times New Roman" w:hAnsi="Times New Roman" w:cs="Times New Roman"/>
          <w:lang w:val="es-ES"/>
        </w:rPr>
      </w:pPr>
    </w:p>
    <w:p w14:paraId="18F91CF2" w14:textId="77777777" w:rsidR="009D252A" w:rsidRPr="005C1C89" w:rsidRDefault="009D252A">
      <w:pPr>
        <w:ind w:left="709" w:hanging="720"/>
        <w:jc w:val="both"/>
        <w:rPr>
          <w:rFonts w:ascii="Times New Roman" w:eastAsia="Times New Roman" w:hAnsi="Times New Roman" w:cs="Times New Roman"/>
          <w:lang w:val="es-ES"/>
        </w:rPr>
      </w:pPr>
    </w:p>
    <w:p w14:paraId="27D83E11" w14:textId="77777777" w:rsidR="009D252A" w:rsidRPr="005C1C89" w:rsidRDefault="009D252A">
      <w:pPr>
        <w:ind w:left="709" w:hanging="720"/>
        <w:jc w:val="both"/>
        <w:rPr>
          <w:rFonts w:ascii="Times New Roman" w:eastAsia="Times New Roman" w:hAnsi="Times New Roman" w:cs="Times New Roman"/>
          <w:lang w:val="es-ES"/>
        </w:rPr>
      </w:pPr>
    </w:p>
    <w:p w14:paraId="2DD1D6F6" w14:textId="77777777" w:rsidR="009D252A" w:rsidRPr="005C1C89" w:rsidRDefault="009D252A">
      <w:pPr>
        <w:ind w:left="709" w:hanging="720"/>
        <w:jc w:val="both"/>
        <w:rPr>
          <w:rFonts w:ascii="Times New Roman" w:eastAsia="Times New Roman" w:hAnsi="Times New Roman" w:cs="Times New Roman"/>
          <w:lang w:val="es-ES"/>
        </w:rPr>
      </w:pPr>
    </w:p>
    <w:p w14:paraId="66306B77" w14:textId="77777777" w:rsidR="009D252A" w:rsidRPr="005C1C89" w:rsidRDefault="009D252A">
      <w:pPr>
        <w:ind w:left="709" w:hanging="720"/>
        <w:jc w:val="both"/>
        <w:rPr>
          <w:rFonts w:ascii="Times New Roman" w:eastAsia="Times New Roman" w:hAnsi="Times New Roman" w:cs="Times New Roman"/>
          <w:lang w:val="es-ES"/>
        </w:rPr>
      </w:pPr>
    </w:p>
    <w:p w14:paraId="6A9794BC" w14:textId="77777777" w:rsidR="009D252A" w:rsidRPr="005C1C89" w:rsidRDefault="009D252A">
      <w:pPr>
        <w:ind w:left="709" w:hanging="720"/>
        <w:jc w:val="both"/>
        <w:rPr>
          <w:rFonts w:ascii="Times New Roman" w:eastAsia="Times New Roman" w:hAnsi="Times New Roman" w:cs="Times New Roman"/>
          <w:lang w:val="es-ES"/>
        </w:rPr>
      </w:pPr>
    </w:p>
    <w:p w14:paraId="5431EEB3" w14:textId="77777777" w:rsidR="009D252A" w:rsidRPr="005C1C89" w:rsidRDefault="009D252A">
      <w:pPr>
        <w:ind w:left="709" w:hanging="720"/>
        <w:jc w:val="both"/>
        <w:rPr>
          <w:rFonts w:ascii="Times New Roman" w:eastAsia="Times New Roman" w:hAnsi="Times New Roman" w:cs="Times New Roman"/>
          <w:lang w:val="es-ES"/>
        </w:rPr>
      </w:pPr>
    </w:p>
    <w:sectPr w:rsidR="009D252A" w:rsidRPr="005C1C89">
      <w:footerReference w:type="even" r:id="rId13"/>
      <w:footerReference w:type="default" r:id="rId14"/>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01908" w14:textId="77777777" w:rsidR="006A4095" w:rsidRDefault="006A4095">
      <w:r>
        <w:separator/>
      </w:r>
    </w:p>
  </w:endnote>
  <w:endnote w:type="continuationSeparator" w:id="0">
    <w:p w14:paraId="5C1F0556" w14:textId="77777777" w:rsidR="006A4095" w:rsidRDefault="006A4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82790" w14:textId="77777777" w:rsidR="006A4095" w:rsidRDefault="006A4095">
      <w:r>
        <w:separator/>
      </w:r>
    </w:p>
  </w:footnote>
  <w:footnote w:type="continuationSeparator" w:id="0">
    <w:p w14:paraId="20B14E5C" w14:textId="77777777" w:rsidR="006A4095" w:rsidRDefault="006A409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0A2B35"/>
    <w:rsid w:val="001519B8"/>
    <w:rsid w:val="001F3349"/>
    <w:rsid w:val="001F7307"/>
    <w:rsid w:val="00341782"/>
    <w:rsid w:val="00392DB2"/>
    <w:rsid w:val="003B02D9"/>
    <w:rsid w:val="003C060B"/>
    <w:rsid w:val="003C3225"/>
    <w:rsid w:val="003D3051"/>
    <w:rsid w:val="00411224"/>
    <w:rsid w:val="004C368B"/>
    <w:rsid w:val="00552364"/>
    <w:rsid w:val="005C1C89"/>
    <w:rsid w:val="006078A6"/>
    <w:rsid w:val="00686835"/>
    <w:rsid w:val="006A4095"/>
    <w:rsid w:val="006C642B"/>
    <w:rsid w:val="007019A0"/>
    <w:rsid w:val="00746237"/>
    <w:rsid w:val="007763F6"/>
    <w:rsid w:val="007E08D7"/>
    <w:rsid w:val="00841468"/>
    <w:rsid w:val="00851E33"/>
    <w:rsid w:val="008B30BE"/>
    <w:rsid w:val="009C195D"/>
    <w:rsid w:val="009D252A"/>
    <w:rsid w:val="00A7767A"/>
    <w:rsid w:val="00A925D8"/>
    <w:rsid w:val="00B10B90"/>
    <w:rsid w:val="00B172E9"/>
    <w:rsid w:val="00B26D91"/>
    <w:rsid w:val="00B957AC"/>
    <w:rsid w:val="00BE4404"/>
    <w:rsid w:val="00BF6A8D"/>
    <w:rsid w:val="00C068D4"/>
    <w:rsid w:val="00C567A1"/>
    <w:rsid w:val="00C6591D"/>
    <w:rsid w:val="00C86CDF"/>
    <w:rsid w:val="00CA6B3A"/>
    <w:rsid w:val="00EB55D9"/>
    <w:rsid w:val="00EF7D0C"/>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22</Pages>
  <Words>53747</Words>
  <Characters>295612</Characters>
  <Application>Microsoft Office Word</Application>
  <DocSecurity>0</DocSecurity>
  <Lines>2463</Lines>
  <Paragraphs>697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28</cp:revision>
  <dcterms:created xsi:type="dcterms:W3CDTF">2023-09-27T10:19:00Z</dcterms:created>
  <dcterms:modified xsi:type="dcterms:W3CDTF">2023-11-21T10:41:00Z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