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Geographic patterns of living tetrapod diversity reveal the signature of global diversification dynamics</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Héctor Tejero-Cicuéndez</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Iris Menéndez</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Elizabeth M. Steell</w:t>
      </w:r>
      <w:r w:rsidDel="00000000" w:rsidR="00000000" w:rsidRPr="00000000">
        <w:rPr>
          <w:rFonts w:ascii="Times New Roman" w:cs="Times New Roman" w:eastAsia="Times New Roman" w:hAnsi="Times New Roman"/>
          <w:vertAlign w:val="superscript"/>
          <w:rtl w:val="0"/>
        </w:rPr>
        <w:t xml:space="preserve">3,4</w:t>
      </w:r>
      <w:r w:rsidDel="00000000" w:rsidR="00000000" w:rsidRPr="00000000">
        <w:rPr>
          <w:rFonts w:ascii="Times New Roman" w:cs="Times New Roman" w:eastAsia="Times New Roman" w:hAnsi="Times New Roman"/>
          <w:rtl w:val="0"/>
        </w:rPr>
        <w:t xml:space="preserve">, Guillermo Navalón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Fernando Blanco</w:t>
      </w:r>
      <w:r w:rsidDel="00000000" w:rsidR="00000000" w:rsidRPr="00000000">
        <w:rPr>
          <w:rFonts w:ascii="Times New Roman" w:cs="Times New Roman" w:eastAsia="Times New Roman" w:hAnsi="Times New Roman"/>
          <w:vertAlign w:val="superscript"/>
          <w:rtl w:val="0"/>
        </w:rPr>
        <w:t xml:space="preserve">2,5,6</w:t>
      </w:r>
      <w:r w:rsidDel="00000000" w:rsidR="00000000" w:rsidRPr="00000000">
        <w:rPr>
          <w:rFonts w:ascii="Times New Roman" w:cs="Times New Roman" w:eastAsia="Times New Roman" w:hAnsi="Times New Roman"/>
          <w:rtl w:val="0"/>
        </w:rPr>
        <w:t xml:space="preserve">, Jiří Šmíd</w:t>
      </w:r>
      <w:r w:rsidDel="00000000" w:rsidR="00000000" w:rsidRPr="00000000">
        <w:rPr>
          <w:rFonts w:ascii="Times New Roman" w:cs="Times New Roman" w:eastAsia="Times New Roman" w:hAnsi="Times New Roman"/>
          <w:vertAlign w:val="superscript"/>
          <w:rtl w:val="0"/>
        </w:rPr>
        <w:t xml:space="preserve">7,8</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Biodiversity, Ecology and Evolution, Faculty of Biology, Universidad Complutense de Madrid, Madrid, Spain</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Museum für Naturkunde, Leibniz Institute for Research on Evolution and Biodiversity at the Humboldt University Berlin, 10115 Berlin, Germany</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Department of Earth Sciences, University of Cambridge, Cambridge, United Kingdom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Department of Earth Sciences, University College London, London, United Kingdom</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Department of Biological and Environmental Sciences, University of Gothenburg, Medicinaregatan 18, 405 30 Gothenburg, Sweden</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Gothenburg Global Biodiversity Centre, Box 461, Gothenburg, Sweden</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Department of Zoology, Faculty of Science, Charles University, Prague, Czech Republic</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Department of Zoology, National Museum, Prague, Czech Republic</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1nd8mue55sl8" w:id="0"/>
      <w:bookmarkEnd w:id="0"/>
      <w:r w:rsidDel="00000000" w:rsidR="00000000" w:rsidRPr="00000000">
        <w:rPr>
          <w:rFonts w:ascii="Times New Roman" w:cs="Times New Roman" w:eastAsia="Times New Roman" w:hAnsi="Times New Roman"/>
          <w:b w:val="1"/>
          <w:color w:val="000000"/>
          <w:rtl w:val="0"/>
        </w:rPr>
        <w:t xml:space="preserve">Abstract</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Biodiversity is distributed unevenly among lineages and regions, and understanding the processes generating these global patterns is a central goal in evolutionary research, particularly in light of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bookmarkStart w:colFirst="0" w:colLast="0" w:name="_heading=h.g5v54cobzuz1" w:id="1"/>
      <w:bookmarkEnd w:id="1"/>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bookmarkStart w:colFirst="0" w:colLast="0" w:name="_heading=h.l6uheowdo5z9" w:id="2"/>
      <w:bookmarkEnd w:id="2"/>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Clarifying the evolutionary and ecological processes underlying present-day patterns of biodiversity remains a central goal for natural historians and evolutionary biologists (de Candolle 1859; Matthew 1915; Moore 1920; Ruthven 1920; Allee 1926; Dobzhansky 1950; Fischer 1960; MacArthur 1965; Anderson 1974; Harmon 2012; Saupe 2023). In particular, the study of global geographic patterns of species diversity (primarily, species richness) has occupied a prominent role in macroecological discussion since the infancy of evolutionary biology as a discipline (Humboldt and Bonpland 1807; Darwin 1859; Wallace 1876) to modern evolutionary theory (e.g., Futuyma 2015). The biodiversity levels in a given geographic area are ultimately determined by three fundamental processes: lineage origination (generally represented by speciation in macroevolutionary studies of extant taxa), extinction, and dispersal (Ricklefs 2004; Mittelbach et al. 2007; Wiens 2011). These three basic generative processes result in the unequal accumulation of species richness across geographic and phylogenetic contexts. Variations in these three processes may be influenced by differential biotic and abiotic factors operating at regional and local scales (Ricklefs 1987, 2006; Rabosky 2009), such as ecological interactions (Schemske et al. 2009), evolutionary time (Wallace 1878; Stephens and Wiens 2003), the relationship between organismal form and ecology (Heard and Hauser 1995; Freeman et al. 2022), environmental conditions (Currie et al. 2004; Allen et al. 2006), climatic trends (Thompson et al. 2023), or topography and plate tectonics (Hoorn et al. 2010; Badgley et al. 2017; Tejero-Cicuéndez et al. 2022a). </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spatial phylogenetics (Earl et al. 2021; Mishler 2023) has advanced our understanding of macroecological dynamics by combining phylogenetic relatedness with geographic biodiversity patterns. Specifically, the use of phylogeny-based metrics of biodiversity, such as Faith’s phylogenetic diversity (PD; Faith 1992),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 (Davies and Buckley 2011; Tucker et al. 2017), in addition to providing an essential source of information for conservation purposes (Faith 1992; Redding and Mooers 2006). </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most cases, species richness and PD are positively correlated: regions showing high and low species richness have high and low levels of PD, respectively (e.g., Davies and Buckley 2011; Fritz and Rahbek 2012).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 (Rodrigues et al. 2005). However, geographic patterns of richness and PD are not necessarily congruent (Tucker and Cadotte 2013).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 Velasco and Pinto-Ledezma 2022) are the result of variations in the generative processes (i.e., speciation, extinction, and dispersal) across regions and clades, and therefore studying them is essential to understand the biotic and abiotic factors underpinning geographic patterns of species diversity.</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high residual PD values might represent the so-called “museums” or “sanctuaries” of biodiversity (Dobzhansky 1950; Stebbins 1974) resulting from the gradual accumulation of species, either by dispersal from other areas (immigration) or by low levels of speciation and extinction (low turnover rate),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 (Stebbins 1974)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 (Vasconcelos et al. 2022).</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Rahbek 2012), birds (Voskamp et al. 2017), and squamates (Gumbs et al. 2020; Vásquez-Restrepo et al. 2023). This wealth of data presents an exciting, but unrealized, opportunity for a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70800"/>
            <wp:effectExtent b="0" l="0" r="0" t="0"/>
            <wp:docPr id="167322989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39973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produced by different combinations of speciation, extinction, and dispersal.</w:t>
      </w:r>
    </w:p>
    <w:p w:rsidR="00000000" w:rsidDel="00000000" w:rsidP="00000000" w:rsidRDefault="00000000" w:rsidRPr="00000000" w14:paraId="00000028">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Materials and Methods</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Roll et al. (2021). Range maps for all groups were downloaded on 1 May 2022. </w:t>
      </w:r>
    </w:p>
    <w:p w:rsidR="00000000" w:rsidDel="00000000" w:rsidP="00000000" w:rsidRDefault="00000000" w:rsidRPr="00000000" w14:paraId="0000002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8">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the consensus and posterior phylogenetic trees for amphibians (Jetz and Pyron 2018), birds (Jetz et al. 2012; backbone from Hackett et al. 2008), mammals (Upham et al. 2019), and squamates (Tonini et al. 2016). </w:t>
      </w:r>
    </w:p>
    <w:p w:rsidR="00000000" w:rsidDel="00000000" w:rsidP="00000000" w:rsidRDefault="00000000" w:rsidRPr="00000000" w14:paraId="0000002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grid and species richness</w:t>
      </w:r>
      <w:r w:rsidDel="00000000" w:rsidR="00000000" w:rsidRPr="00000000">
        <w:rPr>
          <w:rFonts w:ascii="Times New Roman" w:cs="Times New Roman" w:eastAsia="Times New Roman" w:hAnsi="Times New Roman"/>
          <w:rtl w:val="0"/>
        </w:rPr>
        <w:t xml:space="preserve">. For each 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all subsequent analyses. </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We obtained an average phylogenetic diversity (PD) grid after calculating PD grids for 100 trees from the posterior distribution for each tetrapod group. These grids were produced with the functions addPhylo and gridMetrics in epm (Title et al. 2022), and they represent the sum of the branch lengths of the phylogenetic tree connecting all species in each cell (Faith’s PD; Faith 1992). We used the R package rlist v0.4.6.2 (Ren 2021) to process the ‘posterior’ grids and ultimately obtaining a grid of average PD values. With the per-grid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Schliep 2019), with the aid of geiger v2.0.11 (Pennell et al. 2014) and phytools v1.5.1 (Revell 2012) for phylogenetic data handling. We then visually compared lineage-through-time (LTT) plots 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WorldClim v2.1 dataset (Fick and Hijmans 2017). Net primary productivity data summarized over the period between 1981 and 2015 was obtained at 5-arc-minute resolution from the NDVI3g time series (Pinzon and Tucker 2014). The current topography data were based on Wilson et al. (2007) and obtained from the ENVIREM dataset (Title and Bemmels 2018) at a spatial resolution of 10 arc-minutes.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ps2k3fhdabdn" w:id="3"/>
      <w:bookmarkEnd w:id="3"/>
      <w:r w:rsidDel="00000000" w:rsidR="00000000" w:rsidRPr="00000000">
        <w:rPr>
          <w:rFonts w:ascii="Times New Roman" w:cs="Times New Roman" w:eastAsia="Times New Roman" w:hAnsi="Times New Roman"/>
          <w:b w:val="1"/>
          <w:color w:val="000000"/>
          <w:rtl w:val="0"/>
        </w:rPr>
        <w:t xml:space="preserve">Results </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rsidR="00000000" w:rsidDel="00000000" w:rsidP="00000000" w:rsidRDefault="00000000" w:rsidRPr="00000000" w14:paraId="000000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statistically significant negative relationship between recent speciation rates (DR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values—and variable among clades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comparing only regions falling in the 10% lowest and 10% highest residuals, we found significantly lower speciation rates in the lineages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the overall distribution of DR values, this difference appears to be mild (Fig. 4). </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This indicates that the differences in DR rates between regions of high and low residual PD, though significant, are not of large magnitude.</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4194" cy="7772717"/>
            <wp:effectExtent b="0" l="0" r="0" t="0"/>
            <wp:docPr id="167322989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14194" cy="77727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Navalón and Sergio M. Nebreda.</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622800"/>
            <wp:effectExtent b="0" l="0" r="0" t="0"/>
            <wp:docPr id="167322989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9973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Relationship between recent speciation rates (DR rates) and residual PD for all four clades of terrestrial vertebrates. The grey cloud of points in the background of each plot shows results for the four vertebrate groups combined.</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1222" cy="3876992"/>
            <wp:effectExtent b="0" l="0" r="0" t="0"/>
            <wp:docPr id="167322990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01222" cy="38769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recent speciation rates (DR rates) between areas of 10% lowest (in blue) and highest (in red) residual PD.</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evolutionary time and pattern of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rsidR="00000000" w:rsidDel="00000000" w:rsidP="00000000" w:rsidRDefault="00000000" w:rsidRPr="00000000" w14:paraId="0000005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787900"/>
            <wp:effectExtent b="0" l="0" r="0" t="0"/>
            <wp:docPr id="167322989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10% highest (in red) and lowest (in blue) residual PD for each vertebrate clade. The grey points are grid cells with residual PD values between the 10th and 90th percentiles.</w:t>
      </w:r>
    </w:p>
    <w:p w:rsidR="00000000" w:rsidDel="00000000" w:rsidP="00000000" w:rsidRDefault="00000000" w:rsidRPr="00000000" w14:paraId="00000057">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bookmarkStart w:colFirst="0" w:colLast="0" w:name="_heading=h.4r1rivto6ab1" w:id="4"/>
      <w:bookmarkEnd w:id="4"/>
      <w:r w:rsidDel="00000000" w:rsidR="00000000" w:rsidRPr="00000000">
        <w:rPr>
          <w:rtl w:val="0"/>
        </w:rPr>
      </w:r>
    </w:p>
    <w:p w:rsidR="00000000" w:rsidDel="00000000" w:rsidP="00000000" w:rsidRDefault="00000000" w:rsidRPr="00000000" w14:paraId="00000058">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bookmarkStart w:colFirst="0" w:colLast="0" w:name="_heading=h.qw4o535r0vxg" w:id="5"/>
      <w:bookmarkEnd w:id="5"/>
      <w:r w:rsidDel="00000000" w:rsidR="00000000" w:rsidRPr="00000000">
        <w:rPr>
          <w:rtl w:val="0"/>
        </w:rPr>
      </w:r>
    </w:p>
    <w:p w:rsidR="00000000" w:rsidDel="00000000" w:rsidP="00000000" w:rsidRDefault="00000000" w:rsidRPr="00000000" w14:paraId="00000059">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1levh1zlxu0" w:id="6"/>
      <w:bookmarkEnd w:id="6"/>
      <w:r w:rsidDel="00000000" w:rsidR="00000000" w:rsidRPr="00000000">
        <w:rPr>
          <w:rFonts w:ascii="Times New Roman" w:cs="Times New Roman" w:eastAsia="Times New Roman" w:hAnsi="Times New Roman"/>
          <w:b w:val="1"/>
          <w:color w:val="000000"/>
          <w:rtl w:val="0"/>
        </w:rPr>
        <w:t xml:space="preserve">Discussion</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both American continents are regions of consistently low residual PD, meaning that regional assemblages are composed of species that are more closely related than expected by their richness. This applies to all the studied clades, with the exception of amphibians in North America and mammals in Eastern North America. In contrast, Africa consistently shows high levels of residual PD for all clades; in other words, it harbors species that are more distantly related than expected for all living tetrapods. Previous work on mammals (Davies and Buckley 2011) suggested that high residual PD found in Africa may reflect an African origin for many extant mammal clades (Lillegraven et al. 1987). While plausible for mammals, this hypothesis does not explain this pervasive biogeographic patterning in Africa across other major terrestrial vertebrate clades that likely originated on different continents (e.g., Benson et al. 2013; Claramunt and Cracraft 2015),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 (Webb 1976; Weir et al. 2009; Davies and Buckley 2011; Carrillo et al. 2020).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abiotic processes influencing spatial patterning of diversity, biotic factors likely drove some of these observable patterns (Davies and Buckley 2011). In particular, heterogeneous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 (Jønsson and Fjeldså 2006; Sheldon et al. 2015). In addition, the high dispersal ability of the majority of birds’ main subclades resulted in the arrival and relictual permanence of lineages with widely different phylogenetic origins (Jønsson et al. 2007), as opposed to isolated radiations (and, therefore, lower PD), which may be more frequent in organisms with lower dispersal abilities (Inger and Voris 2001; Siler et al. 2012). High residual PD of squamates within Southeast Asia may be related to multiple waves of island colonization during intervals of low sea level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Wilting et al. 2012). </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(Pianka 1981; Rabosky et al. 2007; Skinner et al. 2011; Vidal-García and Keogh 2015; Tejero-Cicuéndez et al. 2022b; Brennan et al. 2023). Finally, geographic patterns of residual PD may be partially generated by ancient evolutionary lineages that inhabit certain regions. This could be the case of dibamid reptiles in Southeast Asia (Townsend et al. 2011), palaeognath birds in Australia (Yonezawa et al. 2017), or marsupial and xenarthran mammals in Australia and North America, respectively (May-Collado et al. 2015). Additionally, passerine birds, that comprise ~60% of extant avian diversity, contribute to high residual PD in Australia due to the presence of numerous endemic lineages that are distantly related in comparison to the diverse, but generally closely-related, passerine lineages inhabiting South America (Fig. 2; Moyle et al. 2016; Oliveros et al. 2019; Harvey et al. 2020). These contrasting patterns are somewhat paradoxical considering that passerines are generally competent fliers, suggesting that there may be additional factors driving spatial diversity patterns among birds.</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work has identified that diversity dynamics are strongly influenced by both extrinsic (e.g., the paleogeographic history) and intrinsic (e.g., ecomorphological or niche-related) factors (James and Shine 2000; Jetz and Rahbek 2002; Badgley 2010; Pyron 2014b; Menéndez et al. 2021; Jiang et al. 2023). For instance, mountainous regions (a universally recognized driver of diversity and evolutionary processes; Hoorn et al. 2010; Rahbek et al. 2019; Perrigo et al. 2020) serve multiple functions during biodiversity generation; mountains can promote speciation due to habitat heterogeneity across an elevational gradient (acting as a source of diversity, particularly in the tropics; Cadena et al. 2011; Šmíd et al. 2021), or induce dispersal barriers (e.g., Miller et al. 2008). Mountains may also generate important refugia and reserves of cold- or humid-adapted diversity during periods of climate warming and aridification (Hampe and Jump 2011; Fjeldså et al. 2012). Likewise, deserts, which have been recurrently considered sinks of diversity (i.e., regions harboring distantly related species due to a lack of within-system diversification; Crisp et al. 2009) may harbor low levels of residual PD, as our results show in Australia for squamates and North America for birds, mammals and squamates (Fig. 2). In many cases, this may reflect large radiations of certain clades adapted to the arid conditions (e.g., Wiens et al. 2013; Rabosky et al. 2014).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 (Buckley et al. 2012).</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may also be a major driver of diversity, diversification and biogeographic patterns (Jablonski 2001; Seeholzer and Brumfield 2023). Specifically, extinction events are known not only to underlie current patterns of species richness (Pyron 2014a; Meseguer and Condamine 2020), but also to substantially affect other facets of biodiversity (Erwin 2008; Pimiento et al. 2020; Brocklehurst et al. 2021). Extinction may both increase and decrease phylogenetic diversity, depending on the age of the lineages that are more prone to extinction (Daru et al. 2017).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 (Vasconcelos et al. 2022).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relationship between the residual PD of a region and the age of the biota within it or the pattern of lineage accumulation (Supp. Figs. 4-7), but the inclusion of fossil information would enhance our ability to investigate such a relationship. </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forward, our methodology to quantify spatial phylogenetic diversity may help to inform conservation policies beyond the species-richness-hotspot and endemism strategies (Myers et al. 2000). Integrating evolutionary relationships at a regional scale has been stated as a necessary step for global conservation efforts for decades (Faith 1992).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(Meseguer et al. 2020)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 (Pimiento and Antonelli 2022).</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Acknowledgments </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HT-C is supported by a "Juan de la Cierva - Formación" postdoctoral fellowship (FJC2021-046832-I) funded by MCIN/AEI/10.13039/501100011033 and by the European Union NextGenerationEU/PRTR.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tm4zkf6izpbt" w:id="7"/>
      <w:bookmarkEnd w:id="7"/>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2010. Tectonics, topography, and mammalian diversity. Ecography. 33:220–231.</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Benson R.B.J., Mannion P.D., Butler R.J., Upchurch P., Goswami A., Evans S.E. 2013. Cretaceous tetrapod fossil record sampling and faunal turnover: Implications for biogeography and the rise of modern clades. Palaeogeography, Palaeoclimatology, Palaeoecology. 372:88–107.</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Claramunt S., Cracraft J. 2015. A new time tree reveals Earth history’s imprint on the evolution of modern birds. Sci. Adv. 1:e1501005.</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9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Futuyma D.J. 2015. Can Modern Evolutionary Theory Explain Macroevolution? In: Serrelli E., Gontier N., editors. Macroevolution: Explanation, Interpretation and Evidence. Switzerland: Springer International Publishing.</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Harmon L.J. 2012. An Inordinate Fondness for Eukaryotic Diversity. PLoS Biology. 10:8–11.</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Harvey MG, Bravo GA, Claramunt S, Cuervo AM, Derryberry GE, Battilana J, Seeholzer GF, McKay JS, O’Meara BC, Faircloth BC, Edwards SV. 2020. The evolution of a tropical biodiversity hotspot. Science. 370(6522):1343-8.</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C.D., Shine R. 2000. Why are there so many coexisting species of lizards in Australian deserts? Oecologia. 125:127–141.</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Rahbek C. 2002. Geographic range size and determinants of avian species richness. Science. 297:1548–1551.</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Jiang K., Wang Q., Dimitrov D., Luo A., Xu X., Su X., Liu Y., Li Y., Li Y., Wang Z. 2023. Evolutionary history and global angiosperm species richness–climate relationships. Global Ecology and Biogeography. 32:1059–1072.</w:t>
      </w:r>
    </w:p>
    <w:p w:rsidR="00000000" w:rsidDel="00000000" w:rsidP="00000000" w:rsidRDefault="00000000" w:rsidRPr="00000000" w14:paraId="000000A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B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B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B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B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B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B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B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B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Moyle RG, Oliveros CH, Andersen MJ, Hosner PA, Benz BW, Manthey JD, Travers SL, Brown RM, Faircloth BC. 2016. Tectonic collision and uplift of Wallacea triggered the global songbird radiation. Nature Communications. 7(1):12709.</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Oliveros CH, Field DJ, Ksepka DT, Barker FK, Aleixo A, Andersen MJ, Alström P, Benz BW, Braun EL, Braun MJ, Bravo GA. 2019. Earth history and the passerine superradiation. Proceedings of the National Academy of Sciences. 116(16):7916-25.</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C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p w:rsidR="00000000" w:rsidDel="00000000" w:rsidP="00000000" w:rsidRDefault="00000000" w:rsidRPr="00000000" w14:paraId="000000C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p>
    <w:p w:rsidR="00000000" w:rsidDel="00000000" w:rsidP="00000000" w:rsidRDefault="00000000" w:rsidRPr="00000000" w14:paraId="000000C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and Antonelli, A. 2022. Integrating deep-time palaeontology in conservation prioritisation. Frontiers in Ecology and Evolution, 10, p.959364.</w:t>
      </w:r>
    </w:p>
    <w:p w:rsidR="00000000" w:rsidDel="00000000" w:rsidP="00000000" w:rsidRDefault="00000000" w:rsidRPr="00000000" w14:paraId="000000C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C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p w:rsidR="00000000" w:rsidDel="00000000" w:rsidP="00000000" w:rsidRDefault="00000000" w:rsidRPr="00000000" w14:paraId="000000D2">
      <w:pPr>
        <w:widowControl w:val="0"/>
        <w:spacing w:line="32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 K. 2021. rlist: A toolbox for non-tabular data manipulation. .</w:t>
      </w:r>
    </w:p>
    <w:p w:rsidR="00000000" w:rsidDel="00000000" w:rsidP="00000000" w:rsidRDefault="00000000" w:rsidRPr="00000000" w14:paraId="000000D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D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D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p w:rsidR="00000000" w:rsidDel="00000000" w:rsidP="00000000" w:rsidRDefault="00000000" w:rsidRPr="00000000" w14:paraId="000000D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p>
    <w:p w:rsidR="00000000" w:rsidDel="00000000" w:rsidP="00000000" w:rsidRDefault="00000000" w:rsidRPr="00000000" w14:paraId="000000D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Rodrigues A.S.L., Brooks T.M., Gaston K.J. 2005. Integrating phylogenetic diversity in the selection of priority areas for conservation: does it make a difference? In: Purvis A., Gittleman J.L., Brooks T., editors. Phylogeny and Conservation. Cambridge University Press.</w:t>
      </w:r>
    </w:p>
    <w:p w:rsidR="00000000" w:rsidDel="00000000" w:rsidP="00000000" w:rsidRDefault="00000000" w:rsidRPr="00000000" w14:paraId="000000D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D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D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D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Saupe E.E. 2023. Explanations for latitudinal diversity gradients must invoke rate variation. Proceedings of the National Academy of Sciences. 120:e2306220120.</w:t>
      </w:r>
    </w:p>
    <w:p w:rsidR="00000000" w:rsidDel="00000000" w:rsidP="00000000" w:rsidRDefault="00000000" w:rsidRPr="00000000" w14:paraId="000000D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D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D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D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E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E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Šmíd J., Sindaco R., Shobrak M., Busais S., Tamar K., Aghová T., Simó-Riudalbas M., Tarroso P., Geniez P., Crochet P.A., Els J., Burriel-Carranza B., Tejero-Cicuéndez H., Carranza S. 2021. Diversity patterns and evolutionary history of Arabian squamates. Journal of Biogeography. 48:1183–1199.</w:t>
      </w:r>
    </w:p>
    <w:p w:rsidR="00000000" w:rsidDel="00000000" w:rsidP="00000000" w:rsidRDefault="00000000" w:rsidRPr="00000000" w14:paraId="000000E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E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E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2022a. Reconstructing Squamate Biogeography in Afro-Arabia Reveals the Influence of a Complex and Dynamic Geologic Past. Systematic Biology. 71:261–272.</w:t>
      </w:r>
    </w:p>
    <w:p w:rsidR="00000000" w:rsidDel="00000000" w:rsidP="00000000" w:rsidRDefault="00000000" w:rsidRPr="00000000" w14:paraId="000000E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Tarroso P., Carranza S., Rabosky D.L. 2022b. Desert lizard diversity worldwide: Effects of environment, time, and evolutionary rate. Global Ecology and Biogeography. 31:776–790.</w:t>
      </w:r>
    </w:p>
    <w:p w:rsidR="00000000" w:rsidDel="00000000" w:rsidP="00000000" w:rsidRDefault="00000000" w:rsidRPr="00000000" w14:paraId="000000E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E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E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E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E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E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E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E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E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E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F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F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F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F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F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F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F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F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F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F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F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F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F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F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F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FF">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709" w:hanging="720"/>
        <w:jc w:val="both"/>
        <w:rPr>
          <w:rFonts w:ascii="Times New Roman" w:cs="Times New Roman" w:eastAsia="Times New Roman" w:hAnsi="Times New Roman"/>
        </w:rPr>
      </w:pPr>
      <w:r w:rsidDel="00000000" w:rsidR="00000000" w:rsidRPr="00000000">
        <w:rPr>
          <w:rtl w:val="0"/>
        </w:rPr>
      </w:r>
    </w:p>
    <w:sectPr>
      <w:footerReference r:id="rId13" w:type="default"/>
      <w:footerReference r:id="rId14" w:type="even"/>
      <w:pgSz w:h="16840" w:w="1190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TableNormal7" w:customStyle="1">
    <w:name w:val="Table Normal"/>
    <w:tblPr>
      <w:tblCellMar>
        <w:top w:w="0.0" w:type="dxa"/>
        <w:left w:w="0.0" w:type="dxa"/>
        <w:bottom w:w="0.0" w:type="dxa"/>
        <w:right w:w="0.0" w:type="dxa"/>
      </w:tblCellMar>
    </w:tblPr>
  </w:style>
  <w:style w:type="table" w:styleId="TableNormal8" w:customStyle="1">
    <w:name w:val="Table Normal"/>
    <w:tblPr>
      <w:tblCellMar>
        <w:top w:w="0.0" w:type="dxa"/>
        <w:left w:w="0.0" w:type="dxa"/>
        <w:bottom w:w="0.0" w:type="dxa"/>
        <w:right w:w="0.0" w:type="dxa"/>
      </w:tblCellMar>
    </w:tblPr>
  </w:style>
  <w:style w:type="table" w:styleId="TableNormal9" w:customStyle="1">
    <w:name w:val="Table Normal"/>
    <w:tblPr>
      <w:tblCellMar>
        <w:top w:w="0.0" w:type="dxa"/>
        <w:left w:w="0.0" w:type="dxa"/>
        <w:bottom w:w="0.0" w:type="dxa"/>
        <w:right w:w="0.0" w:type="dxa"/>
      </w:tblCellMar>
    </w:tblPr>
  </w:style>
  <w:style w:type="table" w:styleId="TableNormala" w:customStyle="1">
    <w:name w:val="Table Normal"/>
    <w:tblPr>
      <w:tblCellMar>
        <w:top w:w="0.0" w:type="dxa"/>
        <w:left w:w="0.0" w:type="dxa"/>
        <w:bottom w:w="0.0" w:type="dxa"/>
        <w:right w:w="0.0" w:type="dxa"/>
      </w:tblCellMar>
    </w:tblPr>
  </w:style>
  <w:style w:type="table" w:styleId="TableNormalb" w:customStyle="1">
    <w:name w:val="Table Normal"/>
    <w:tblPr>
      <w:tblCellMar>
        <w:top w:w="0.0" w:type="dxa"/>
        <w:left w:w="0.0" w:type="dxa"/>
        <w:bottom w:w="0.0" w:type="dxa"/>
        <w:right w:w="0.0" w:type="dxa"/>
      </w:tblCellMar>
    </w:tblPr>
  </w:style>
  <w:style w:type="table" w:styleId="TableNormalc" w:customStyle="1">
    <w:name w:val="Table Normal"/>
    <w:tblPr>
      <w:tblCellMar>
        <w:top w:w="0.0" w:type="dxa"/>
        <w:left w:w="0.0" w:type="dxa"/>
        <w:bottom w:w="0.0" w:type="dxa"/>
        <w:right w:w="0.0" w:type="dxa"/>
      </w:tblCellMar>
    </w:tblPr>
  </w:style>
  <w:style w:type="table" w:styleId="TableNormald"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Revisin">
    <w:name w:val="Revision"/>
    <w:hidden w:val="1"/>
    <w:uiPriority w:val="99"/>
    <w:semiHidden w:val="1"/>
    <w:rsid w:val="005445DE"/>
  </w:style>
  <w:style w:type="character" w:styleId="Hipervnculo">
    <w:name w:val="Hyperlink"/>
    <w:basedOn w:val="Fuentedeprrafopredeter"/>
    <w:uiPriority w:val="99"/>
    <w:unhideWhenUsed w:val="1"/>
    <w:rsid w:val="003E0EED"/>
    <w:rPr>
      <w:color w:val="0563c1" w:themeColor="hyperlink"/>
      <w:u w:val="single"/>
    </w:rPr>
  </w:style>
  <w:style w:type="character" w:styleId="Mencinsinresolver">
    <w:name w:val="Unresolved Mention"/>
    <w:basedOn w:val="Fuentedeprrafopredeter"/>
    <w:uiPriority w:val="99"/>
    <w:semiHidden w:val="1"/>
    <w:unhideWhenUsed w:val="1"/>
    <w:rsid w:val="003E0EED"/>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hyperlink" Target="https://data.vertlif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QIWGn6/IV747Mts20h1eNM0gw==">CgMxLjAyDmguMW5kOG11ZTU1c2w4Mg5oLmc1djU0Y29ienV6MTIOaC5sNnVoZW93ZG81ejkyDmgucHMyazNmaGRhYmRuMg5oLjRyMXJpdnRvNmFiMTIOaC5xdzRvNTM1cjB2eGcyDmguZzFsZXZoMXpseHUwMg5oLnRtNHprZjZpenBidDgAciExeUh2OFJKS1doLXBfRTJlMUsyU2dMWHZGbFNTQjRaZDI=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2023-09-27T10:19:00Z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