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«Iniciar sesión en el panel». Figura 25,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«Buscar sin acentos ni mayúsculas». Figura 1, bloque «Catálogo · filtros y búsqueda».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RF03. Vistas de la función: quién la usa, cómo responde el sistema.</w:t>
      </w:r>
    </w:p>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«Elegir variante de un producto». Figura 2, decisión «¿La pieza tiene variantes?».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6 — RF04. Vistas de la función: quién la usa, cómo responde el sistema.</w:t>
      </w:r>
    </w:p>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«Comprar una pieza directo». Figura 2, salida «FORMATO 1».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RF05. Vistas de la función: quién la usa, cómo responde el sistema y de qué componentes se sirve.</w:t>
      </w:r>
    </w:p>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«Gestionar el carrito». Figura 2, bloque «Agrega al carrito». Figura 26, pasos 3 y 4.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8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«Verificar compatibilidad». Figura 1, bloque «Configurador». Ficha completa de la función: Figura 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00" w:before="20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266950"/>
                    </a:xfrm>
                    <a:prstGeom prst="rect">
                      <a:avLst/>
                    </a:prstGeom>
                  </pic:spPr>
                </pic:pic>
              </a:graphicData>
            </a:graphic>
          </wp:inline>
        </w:drawing>
      </w:r>
    </w:p>
    <w:p>
      <w:pPr>
        <w:spacing w:after="240"/>
        <w:jc w:val="center"/>
      </w:pPr>
      <w:r>
        <w:rPr>
          <w:i/>
          <w:iCs/>
          <w:color w:val="5B6875"/>
          <w:sz w:val="18"/>
          <w:szCs w:val="18"/>
        </w:rPr>
        <w:t xml:space="preserve">Figura 9 — RF07. Vistas de la función: quién la usa, cómo responde el sistema.</w:t>
      </w:r>
    </w:p>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 precio en tres monedas». Figura 26, paso 2. Figura 25, componente «Conversión de moneda». Ficha completa de la función: Figura 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10 — RF08. Vistas de la función: quién la usa, cómo responde el sistema y de qué componentes se sirve.</w:t>
      </w:r>
    </w:p>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«Aplicar cupón de descuento». Figura 2, decisión «¿Aplica cupón?». Figura 26, fragmento «opcional». Ficha completa de la función: Figura 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11 — RF09. Vistas de la función: quién la usa, cómo responde el sistema.</w:t>
      </w:r>
    </w:p>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«Registrar el pedido». Figura 2, bloque «place_order». Figura 26, paso 8 y fragmento «alt». Ficha completa de la función: Figura 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12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«Generar mensaje del pedido», enlazado por «include» desde el registro. Figura 2, salida «FORMATO 2». Figura 26, pasos 11 a 14. Ficha completa de la función: Figura 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13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productos y variantes». Figura 1, bloque «Inventario». Ficha completa de la función: Figura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14 — RF12. Vistas de la función: quién la usa, cómo responde el sistema y de qué componentes se sirve.</w:t>
      </w:r>
    </w:p>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«Controlar existencias». Figura 1, bloque «Inventario». Figura 26, autollamada de descuento de unidades. Ficha completa de la función: Figura 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00" w:before="200"/>
        <w:jc w:val="center"/>
      </w:pPr>
      <w:r>
        <w:drawing>
          <wp:inline distT="0" distB="0" distL="0" distR="0">
            <wp:extent cx="6096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085975"/>
                    </a:xfrm>
                    <a:prstGeom prst="rect">
                      <a:avLst/>
                    </a:prstGeom>
                  </pic:spPr>
                </pic:pic>
              </a:graphicData>
            </a:graphic>
          </wp:inline>
        </w:drawing>
      </w:r>
    </w:p>
    <w:p>
      <w:pPr>
        <w:spacing w:after="240"/>
        <w:jc w:val="center"/>
      </w:pPr>
      <w:r>
        <w:rPr>
          <w:i/>
          <w:iCs/>
          <w:color w:val="5B6875"/>
          <w:sz w:val="18"/>
          <w:szCs w:val="18"/>
        </w:rPr>
        <w:t xml:space="preserve">Figura 15 — RF13. Vistas de la función: quién la usa, cómo responde el sistema.</w:t>
      </w:r>
    </w:p>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«Configurar precios y tasa». Figura 1, bloque «Precios». Ficha completa de la función: Figura 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00" w:before="20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86075"/>
                    </a:xfrm>
                    <a:prstGeom prst="rect">
                      <a:avLst/>
                    </a:prstGeom>
                  </pic:spPr>
                </pic:pic>
              </a:graphicData>
            </a:graphic>
          </wp:inline>
        </w:drawing>
      </w:r>
    </w:p>
    <w:p>
      <w:pPr>
        <w:spacing w:after="240"/>
        <w:jc w:val="center"/>
      </w:pPr>
      <w:r>
        <w:rPr>
          <w:i/>
          <w:iCs/>
          <w:color w:val="5B6875"/>
          <w:sz w:val="18"/>
          <w:szCs w:val="18"/>
        </w:rPr>
        <w:t xml:space="preserve">Figura 16 — RF14. Vistas de la función: quién la usa, cómo responde el sistema y de qué componentes se sirve.</w:t>
      </w:r>
    </w:p>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cupones». Figura 1, bloque «Cupones». Ficha completa de la función: Figura 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17 — RF15. Vistas de la función: quién la usa, cómo responde el sistema.</w:t>
      </w:r>
    </w:p>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«Seguir los pedidos». Figura 1, bloque «Pedidos». Ficha completa de la función: Figura 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00" w:before="200"/>
        <w:jc w:val="center"/>
      </w:pPr>
      <w:r>
        <w:drawing>
          <wp:inline distT="0" distB="0" distL="0" distR="0">
            <wp:extent cx="6096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457450"/>
                    </a:xfrm>
                    <a:prstGeom prst="rect">
                      <a:avLst/>
                    </a:prstGeom>
                  </pic:spPr>
                </pic:pic>
              </a:graphicData>
            </a:graphic>
          </wp:inline>
        </w:drawing>
      </w:r>
    </w:p>
    <w:p>
      <w:pPr>
        <w:spacing w:after="240"/>
        <w:jc w:val="center"/>
      </w:pPr>
      <w:r>
        <w:rPr>
          <w:i/>
          <w:iCs/>
          <w:color w:val="5B6875"/>
          <w:sz w:val="18"/>
          <w:szCs w:val="18"/>
        </w:rPr>
        <w:t xml:space="preserve">Figura 18 — RF16. Vistas de la función: quién la usa, cómo responde el sistema.</w:t>
      </w:r>
    </w:p>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«Crear cuentas del panel», alcanzable solo desde el actor Moderador. Figura 25, componente «Gestión de cuentas». Ficha completa de la función: Figura 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19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«Retirar y devolver acceso». Figura 25, componentes «Gestión de cuentas» y «Políticas de seguridad por fila». Ficha completa de la función: Figura 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20 — RF18. Vistas de la función: quién la usa, cómo responde el sistema y de qué componentes se sirve.</w:t>
      </w:r>
    </w:p>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«Cambiar la contraseña propia», alcanzable por ambos perfiles. Figura 25, componente «Autenticación». Ficha completa de la función: Figura 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00" w:before="20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2495550"/>
                    </a:xfrm>
                    <a:prstGeom prst="rect">
                      <a:avLst/>
                    </a:prstGeom>
                  </pic:spPr>
                </pic:pic>
              </a:graphicData>
            </a:graphic>
          </wp:inline>
        </w:drawing>
      </w:r>
    </w:p>
    <w:p>
      <w:pPr>
        <w:spacing w:after="240"/>
        <w:jc w:val="center"/>
      </w:pPr>
      <w:r>
        <w:rPr>
          <w:i/>
          <w:iCs/>
          <w:color w:val="5B6875"/>
          <w:sz w:val="18"/>
          <w:szCs w:val="18"/>
        </w:rPr>
        <w:t xml:space="preserve">Figura 21 — RF19. Vistas de la función: quién la usa, cómo responde el sistema.</w:t>
      </w:r>
    </w:p>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«Dar de baja pedidos». Figura 25, componente «Funciones transaccionales». Ficha completa de la función: Figura 22.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00" w:before="200"/>
        <w:jc w:val="center"/>
      </w:pPr>
      <w:r>
        <w:drawing>
          <wp:inline distT="0" distB="0" distL="0" distR="0">
            <wp:extent cx="6096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875"/>
          <w:sz w:val="18"/>
          <w:szCs w:val="18"/>
        </w:rPr>
        <w:t xml:space="preserve">Figura 22 — RF20. Vistas de la función: quién la usa, cómo responde el sistema y de qué componentes se sirve.</w:t>
      </w:r>
    </w:p>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«Restablecer clave ajena». Figura 25, componentes «Gestión de cuentas» y «Autenticación». Ficha completa de la función: Figura 23.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23 — RF21. Vistas de la función: quién la usa, cómo responde el sistema y de qué componentes se sirve.</w:t>
      </w:r>
    </w:p>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24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25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26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27 — Diagrama de clases. Entidades persistentes, atributos con significado comercial y relaciones. La relación completa de columnas está en el Apéndice A.</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27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d3695510f57be1cb4b3d2be2447e9225bfeb6c.png"/><Relationship Id="rId10" Type="http://schemas.openxmlformats.org/officeDocument/2006/relationships/image" Target="media/3528cfbe9a998c853d4c97a4b73ac035b24a7bdf.png"/><Relationship Id="rId11" Type="http://schemas.openxmlformats.org/officeDocument/2006/relationships/image" Target="media/fe3182563e9fdd4037ced53dd43ed7e933cda795.png"/><Relationship Id="rId12" Type="http://schemas.openxmlformats.org/officeDocument/2006/relationships/image" Target="media/1e550a998596e7075019331e4e2b6d9810ed272c.png"/><Relationship Id="rId13" Type="http://schemas.openxmlformats.org/officeDocument/2006/relationships/image" Target="media/bf56207a20cc1727e68cd50c3d2ec7041593052e.png"/><Relationship Id="rId14" Type="http://schemas.openxmlformats.org/officeDocument/2006/relationships/image" Target="media/9a75d162d1e315bb77e05bf296f653d814e0dc25.png"/><Relationship Id="rId15" Type="http://schemas.openxmlformats.org/officeDocument/2006/relationships/image" Target="media/c4c61a9508f4fc30eab660075410882517cb9b04.png"/><Relationship Id="rId16" Type="http://schemas.openxmlformats.org/officeDocument/2006/relationships/image" Target="media/45460ac7e337bf6bf6790ab35acb2167c9d578b5.png"/><Relationship Id="rId17" Type="http://schemas.openxmlformats.org/officeDocument/2006/relationships/image" Target="media/0b92ee96bbd248a52471738a35ae15e432f4e008.png"/><Relationship Id="rId18" Type="http://schemas.openxmlformats.org/officeDocument/2006/relationships/image" Target="media/193c4bb044f3a069f27fa3b8790a00869163175e.png"/><Relationship Id="rId19" Type="http://schemas.openxmlformats.org/officeDocument/2006/relationships/image" Target="media/3b96ae019df628e88917f8210116a7abe687cf4b.png"/><Relationship Id="rId20" Type="http://schemas.openxmlformats.org/officeDocument/2006/relationships/image" Target="media/d1e876948016c1a4b75d8f78a2e11e7440e53f04.png"/><Relationship Id="rId21" Type="http://schemas.openxmlformats.org/officeDocument/2006/relationships/image" Target="media/b4e34e77e6e2205e802ee5e7c183a11eb7bd20a6.png"/><Relationship Id="rId22" Type="http://schemas.openxmlformats.org/officeDocument/2006/relationships/image" Target="media/6ad0f9abcd8f7ced67ac91acfde5d8dcdbc8242a.png"/><Relationship Id="rId23" Type="http://schemas.openxmlformats.org/officeDocument/2006/relationships/image" Target="media/d763b27995cb5ef1252270825fc50f511523dc09.png"/><Relationship Id="rId24" Type="http://schemas.openxmlformats.org/officeDocument/2006/relationships/image" Target="media/eb3c842e8807dc8db285c3ff28c95956248e7018.png"/><Relationship Id="rId25" Type="http://schemas.openxmlformats.org/officeDocument/2006/relationships/image" Target="media/ed6dd3cf7ead6af477ef74bdd14e09d41e8d6143.png"/><Relationship Id="rId26" Type="http://schemas.openxmlformats.org/officeDocument/2006/relationships/image" Target="media/a5e14d29d5830c5e2f896025c568884b082aab0d.png"/><Relationship Id="rId27" Type="http://schemas.openxmlformats.org/officeDocument/2006/relationships/image" Target="media/7c6dcb8acf64e5c06ec10a0f0e3d1a390477f363.png"/><Relationship Id="rId28" Type="http://schemas.openxmlformats.org/officeDocument/2006/relationships/image" Target="media/66c5d53a4cf68477176919b5e6ef8d77d1aa9249.png"/><Relationship Id="rId29" Type="http://schemas.openxmlformats.org/officeDocument/2006/relationships/image" Target="media/7c651cf43a9650d54589bd3ffb3a8e9e55a1c58e.png"/><Relationship Id="rId30" Type="http://schemas.openxmlformats.org/officeDocument/2006/relationships/image" Target="media/3d7a11c33012cdea6d126b6601614acd04a4f08e.png"/><Relationship Id="rId31" Type="http://schemas.openxmlformats.org/officeDocument/2006/relationships/image" Target="media/942bba7f8aeb48b3ca89a128232220e0420a2612.png"/><Relationship Id="rId32" Type="http://schemas.openxmlformats.org/officeDocument/2006/relationships/image" Target="media/37759f7d29259092d9d76de3b43ccc379ac9fd11.png"/><Relationship Id="rId33" Type="http://schemas.openxmlformats.org/officeDocument/2006/relationships/image" Target="media/6dfe9c36a1dbe829ea2dbd6b38893ea39b80d5c7.png"/><Relationship Id="rId34" Type="http://schemas.openxmlformats.org/officeDocument/2006/relationships/image" Target="media/aad533a6bff3ae92fbc1e5c7513c9b666a8f3864.png"/><Relationship Id="rId35" Type="http://schemas.openxmlformats.org/officeDocument/2006/relationships/image" Target="media/780c7456b655e8c6f48034f360ba858726e5038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2026-09-08T16:48:21.255Z</dcterms:created>
  <dcterms:modified xsi:type="dcterms:W3CDTF">2026-09-08T16:48:21.256Z</dcterms:modified>
</cp:coreProperties>
</file>

<file path=docProps/custom.xml><?xml version="1.0" encoding="utf-8"?>
<Properties xmlns="http://schemas.openxmlformats.org/officeDocument/2006/custom-properties" xmlns:vt="http://schemas.openxmlformats.org/officeDocument/2006/docPropsVTypes"/>
</file>