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40"/>
      </w:pPr>
    </w:p>
    <w:p>
      <w:pPr>
        <w:spacing w:after="0"/>
        <w:jc w:val="center"/>
      </w:pPr>
      <w:r>
        <w:drawing>
          <wp:inline distT="0" distB="0" distL="0" distR="0">
            <wp:extent cx="10287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28700" cy="1038225"/>
                    </a:xfrm>
                    <a:prstGeom prst="rect">
                      <a:avLst/>
                    </a:prstGeom>
                  </pic:spPr>
                </pic:pic>
              </a:graphicData>
            </a:graphic>
          </wp:inline>
        </w:drawing>
      </w:r>
    </w:p>
    <w:p>
      <w:pPr>
        <w:spacing w:after="40" w:before="200"/>
        <w:jc w:val="center"/>
      </w:pPr>
      <w:r>
        <w:rPr>
          <w:b/>
          <w:bCs/>
          <w:color w:val="1F3864"/>
          <w:spacing w:val="60"/>
          <w:sz w:val="30"/>
          <w:szCs w:val="30"/>
        </w:rPr>
        <w:t xml:space="preserve">UNIVERSIDAD SAN LORENZO</w:t>
      </w:r>
    </w:p>
    <w:p>
      <w:pPr>
        <w:spacing w:after="30"/>
        <w:jc w:val="center"/>
      </w:pPr>
      <w:r>
        <w:rPr>
          <w:b/>
          <w:bCs/>
          <w:color w:val="2E5B8C"/>
          <w:spacing w:val="40"/>
          <w:sz w:val="21"/>
          <w:szCs w:val="21"/>
        </w:rPr>
        <w:t xml:space="preserve">FACULTAD DE INGENIERÍA EN INFORMÁTICA</w:t>
      </w:r>
    </w:p>
    <w:p>
      <w:pPr>
        <w:spacing w:after="620"/>
        <w:jc w:val="center"/>
      </w:pPr>
      <w:r>
        <w:rPr>
          <w:color w:val="5B6875"/>
          <w:sz w:val="19"/>
          <w:szCs w:val="19"/>
        </w:rPr>
        <w:t xml:space="preserve">Taller de Lenguaje · Asignatura 135 · Décimo Semestre</w:t>
      </w:r>
    </w:p>
    <w:p>
      <w:pPr>
        <w:spacing w:after="40"/>
        <w:jc w:val="center"/>
      </w:pPr>
      <w:r>
        <w:rPr>
          <w:b/>
          <w:bCs/>
          <w:color w:val="12181F"/>
          <w:spacing w:val="30"/>
          <w:sz w:val="40"/>
          <w:szCs w:val="40"/>
        </w:rPr>
        <w:t xml:space="preserve">ESPECIFICACIÓN DE REQUISITOS</w:t>
      </w:r>
    </w:p>
    <w:p>
      <w:pPr>
        <w:spacing w:after="120"/>
        <w:jc w:val="center"/>
      </w:pPr>
      <w:r>
        <w:rPr>
          <w:b/>
          <w:bCs/>
          <w:color w:val="12181F"/>
          <w:spacing w:val="30"/>
          <w:sz w:val="40"/>
          <w:szCs w:val="40"/>
        </w:rPr>
        <w:t xml:space="preserve">DE SOFTWARE</w:t>
      </w:r>
    </w:p>
    <w:p>
      <w:pPr>
        <w:spacing w:after="500"/>
        <w:jc w:val="center"/>
      </w:pPr>
      <w:r>
        <w:rPr>
          <w:color w:val="0B6E97"/>
          <w:spacing w:val="30"/>
          <w:sz w:val="19"/>
          <w:szCs w:val="19"/>
        </w:rPr>
        <w:t xml:space="preserve">IEEE 830-1998  ·  ISO/IEC/IEEE 29148:2011</w:t>
      </w:r>
    </w:p>
    <w:p>
      <w:pPr>
        <w:pBdr>
          <w:top w:val="single" w:color="0B6E97" w:sz="10" w:space="14"/>
        </w:pBdr>
        <w:spacing w:after="0" w:before="0"/>
        <w:jc w:val="center"/>
      </w:pPr>
      <w:r>
        <w:rPr>
          <w:sz w:val="2"/>
          <w:szCs w:val="2"/>
        </w:rPr>
        <w:t xml:space="preserve"/>
      </w:r>
    </w:p>
    <w:p>
      <w:pPr>
        <w:spacing w:after="0"/>
        <w:jc w:val="center"/>
      </w:pPr>
      <w:r>
        <w:drawing>
          <wp:inline distT="0" distB="0" distL="0" distR="0">
            <wp:extent cx="2857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800100"/>
                    </a:xfrm>
                    <a:prstGeom prst="rect">
                      <a:avLst/>
                    </a:prstGeom>
                  </pic:spPr>
                </pic:pic>
              </a:graphicData>
            </a:graphic>
          </wp:inline>
        </w:drawing>
      </w:r>
    </w:p>
    <w:p>
      <w:pPr>
        <w:pBdr>
          <w:bottom w:val="single" w:color="0B6E97" w:sz="10" w:space="14"/>
        </w:pBdr>
        <w:spacing w:after="0" w:before="60"/>
        <w:jc w:val="center"/>
      </w:pPr>
      <w:r>
        <w:rPr>
          <w:color w:val="40546B"/>
          <w:sz w:val="19"/>
          <w:szCs w:val="19"/>
        </w:rPr>
        <w:t xml:space="preserve">Componentes para PC · Ciudad del Este, Paraguay</w:t>
      </w:r>
    </w:p>
    <w:p>
      <w:pPr>
        <w:spacing w:after="6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6E4EC"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6E4EC"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Cliente del sistema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Ciudad del Este, Paraguay</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12 de octubre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2.0 — Final, con modelado UML completo</w:t>
            </w:r>
          </w:p>
        </w:tc>
      </w:tr>
    </w:tbl>
    <w:p>
      <w:r>
        <w:br w:type="page"/>
      </w:r>
    </w:p>
    <w:p>
      <w:pPr>
        <w:pStyle w:val="Heading1"/>
        <w:pBdr>
          <w:bottom w:val="single" w:color="0B6E97" w:sz="12" w:space="6"/>
        </w:pBdr>
        <w:spacing w:after="200" w:before="40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6E4EC"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6E4EC"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12/10/2026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2.0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Modelado UML completo: diagramas de casos de uso, componentes, comportamiento y clases, y vistas por requisito. Roles de administrador y moderador. Versión final de entrega.</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6E4EC"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6E4EC"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12/10/2026</w:t>
            </w:r>
          </w:p>
        </w:tc>
      </w:tr>
      <w:tr>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shd w:fill="F7F9FB" w:val="clear"/>
            <w:tcMar>
              <w:top w:type="dxa" w:w="80"/>
              <w:left w:type="dxa" w:w="110"/>
              <w:bottom w:type="dxa" w:w="80"/>
              <w:right w:type="dxa" w:w="110"/>
            </w:tcMar>
          </w:tcPr>
          <w:p>
            <w:pPr>
              <w:spacing w:after="40" w:line="260"/>
            </w:pPr>
            <w:r>
              <w:rPr>
                <w:b w:val="false"/>
                <w:bCs w:val="false"/>
                <w:color w:val="1A232C"/>
                <w:sz w:val="20"/>
                <w:szCs w:val="20"/>
              </w:rPr>
              <w:t xml:space="preserve">12/10/2026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12/10/2026</w:t>
            </w:r>
          </w:p>
        </w:tc>
      </w:tr>
    </w:tbl>
    <w:p>
      <w:r>
        <w:br w:type="page"/>
      </w:r>
    </w:p>
    <w:p>
      <w:pPr>
        <w:pStyle w:val="Heading1"/>
        <w:pBdr>
          <w:bottom w:val="single" w:color="0B6E97" w:sz="12" w:space="6"/>
        </w:pBdr>
        <w:spacing w:after="200" w:before="40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B6E97" w:sz="12" w:space="6"/>
        </w:pBdr>
        <w:spacing w:after="200" w:before="40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Cobro por cualquier medio electrónico: tarjeta de crédito o débito, pasarela de pagos, billetera con código QR o transferencia automatizada. No existe integración ni campo alguno donde introducir datos de pago.</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6E4EC"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shd w:fill="F7F9FB" w:val="clear"/>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6E4EC"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6E4EC"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pBdr>
          <w:bottom w:val="single" w:color="0B6E97" w:sz="12" w:space="6"/>
        </w:pBdr>
        <w:spacing w:after="200" w:before="40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3"/>
        <w:spacing w:after="120" w:before="220"/>
      </w:pPr>
      <w:r>
        <w:t xml:space="preserve">Posición frente a una tienda en línea convencional</w:t>
      </w:r>
    </w:p>
    <w:p>
      <w:pPr>
        <w:spacing w:after="120" w:line="276"/>
      </w:pPr>
      <w:r>
        <w:t xml:space="preserve">Varias de las decisiones de alcance de este sistema son deliberadas y no carencias, de modo que conviene enunciarlas junto a su motivo. Una tienda en línea genérica resuelve un problema distinto: vender a un desconocido que paga en el acto. Sky Import vende en una ciudad de frontera donde la venta se cierra hablando, y el software se diseñó para acompañar esa forma de vender en lugar de sustituirla.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126"/>
      </w:tblGrid>
      <w:tr>
        <w:trPr>
          <w:tblHeader/>
        </w:trPr>
        <w:tc>
          <w:tcPr>
            <w:tcW w:type="dxa" w:w="1700"/>
            <w:shd w:fill="D6E4EC" w:val="clear"/>
            <w:tcMar>
              <w:top w:type="dxa" w:w="80"/>
              <w:left w:type="dxa" w:w="110"/>
              <w:bottom w:type="dxa" w:w="80"/>
              <w:right w:type="dxa" w:w="110"/>
            </w:tcMar>
          </w:tcPr>
          <w:p>
            <w:pPr>
              <w:spacing w:after="40" w:line="260"/>
            </w:pPr>
            <w:r>
              <w:rPr>
                <w:b/>
                <w:bCs/>
                <w:color w:val="1F3864"/>
                <w:sz w:val="20"/>
                <w:szCs w:val="20"/>
              </w:rPr>
              <w:t xml:space="preserve">Aspecto</w:t>
            </w:r>
          </w:p>
        </w:tc>
        <w:tc>
          <w:tcPr>
            <w:tcW w:type="dxa" w:w="3200"/>
            <w:shd w:fill="D6E4EC" w:val="clear"/>
            <w:tcMar>
              <w:top w:type="dxa" w:w="80"/>
              <w:left w:type="dxa" w:w="110"/>
              <w:bottom w:type="dxa" w:w="80"/>
              <w:right w:type="dxa" w:w="110"/>
            </w:tcMar>
          </w:tcPr>
          <w:p>
            <w:pPr>
              <w:spacing w:after="40" w:line="260"/>
            </w:pPr>
            <w:r>
              <w:rPr>
                <w:b/>
                <w:bCs/>
                <w:color w:val="1F3864"/>
                <w:sz w:val="20"/>
                <w:szCs w:val="20"/>
              </w:rPr>
              <w:t xml:space="preserve">Tienda en línea convencional</w:t>
            </w:r>
          </w:p>
        </w:tc>
        <w:tc>
          <w:tcPr>
            <w:tcW w:type="dxa" w:w="4126"/>
            <w:shd w:fill="D6E4EC" w:val="clear"/>
            <w:tcMar>
              <w:top w:type="dxa" w:w="80"/>
              <w:left w:type="dxa" w:w="110"/>
              <w:bottom w:type="dxa" w:w="80"/>
              <w:right w:type="dxa" w:w="110"/>
            </w:tcMar>
          </w:tcPr>
          <w:p>
            <w:pPr>
              <w:spacing w:after="40" w:line="260"/>
            </w:pPr>
            <w:r>
              <w:rPr>
                <w:b/>
                <w:bCs/>
                <w:color w:val="1F3864"/>
                <w:sz w:val="20"/>
                <w:szCs w:val="20"/>
              </w:rPr>
              <w:t xml:space="preserve">Sky Import y su motivo</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Cuenta de usuario</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Exige registrarse, verificar un correo y recordar una contraseña antes de poder comprar.</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No pide cuenta. El cliente completa cuatro datos en una sola pantalla y pasa a la conversación. Registrarse es la primera fricción que abandona a un comprador, y acá no aporta nada: el vínculo comercial ya existe por mensajería.</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Cobro</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Procesa el pago en línea con tarjeta o pasarela, y la venta no existe hasta que el dinero ingresa.</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No cobra. El importe se acuerda en la conversación y se salda en el local o por transferencia, que es como el comercio ya vende hoy. Evita además custodiar datos de pago.</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Carrito</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Se guarda en el servidor, atado a la cuenta del usuario.</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Vive en el navegador del cliente. Sobrevive a cerrar la pestaña sin necesitar cuenta, y el sistema no almacena carritos de nadie.</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Cierre de la venta</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Confirma por correo electrónico y deriva a un centro de ayuda.</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Abre WhatsApp con el pedido ya escrito: piezas, códigos, cantidades e importes. El cliente no transcribe nada y el vendedor no pregunta lo que ya está dicho.</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Pedidos no concretados</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Se pierden: sin pago no queda registro.</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Quedan registrados en el momento en que el cliente pulsa el botón, antes de abrir la conversación. Así hay seguimiento comercial aunque nunca llegue a escribir.</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Monedas</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Publica en una sola moneda.</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Publica en dólares, guaraníes y reales a la vez, derivadas de una tasa única. Ciudad del Este atiende a compradores de tres países y la conversión a mano era fuente de error.</w:t>
            </w:r>
          </w:p>
        </w:tc>
      </w:tr>
      <w:tr>
        <w:tc>
          <w:tcPr>
            <w:tcW w:type="dxa" w:w="1700"/>
            <w:tcMar>
              <w:top w:type="dxa" w:w="80"/>
              <w:left w:type="dxa" w:w="110"/>
              <w:bottom w:type="dxa" w:w="80"/>
              <w:right w:type="dxa" w:w="110"/>
            </w:tcMar>
          </w:tcPr>
          <w:p>
            <w:pPr>
              <w:spacing w:after="40" w:line="260"/>
            </w:pPr>
            <w:r>
              <w:rPr>
                <w:b w:val="false"/>
                <w:bCs w:val="false"/>
                <w:color w:val="1A232C"/>
                <w:sz w:val="20"/>
                <w:szCs w:val="20"/>
              </w:rPr>
              <w:t xml:space="preserve">Idioma</w:t>
            </w:r>
          </w:p>
        </w:tc>
        <w:tc>
          <w:tcPr>
            <w:tcW w:type="dxa" w:w="3200"/>
            <w:tcMar>
              <w:top w:type="dxa" w:w="80"/>
              <w:left w:type="dxa" w:w="110"/>
              <w:bottom w:type="dxa" w:w="80"/>
              <w:right w:type="dxa" w:w="110"/>
            </w:tcMar>
          </w:tcPr>
          <w:p>
            <w:pPr>
              <w:spacing w:after="40" w:line="260"/>
            </w:pPr>
            <w:r>
              <w:rPr>
                <w:b w:val="false"/>
                <w:bCs w:val="false"/>
                <w:color w:val="1A232C"/>
                <w:sz w:val="20"/>
                <w:szCs w:val="20"/>
              </w:rPr>
              <w:t xml:space="preserve">Un idioma, o traducción automática.</w:t>
            </w:r>
          </w:p>
        </w:tc>
        <w:tc>
          <w:tcPr>
            <w:tcW w:type="dxa" w:w="4126"/>
            <w:tcMar>
              <w:top w:type="dxa" w:w="80"/>
              <w:left w:type="dxa" w:w="110"/>
              <w:bottom w:type="dxa" w:w="80"/>
              <w:right w:type="dxa" w:w="110"/>
            </w:tcMar>
          </w:tcPr>
          <w:p>
            <w:pPr>
              <w:spacing w:after="40" w:line="260"/>
            </w:pPr>
            <w:r>
              <w:rPr>
                <w:b w:val="false"/>
                <w:bCs w:val="false"/>
                <w:color w:val="1A232C"/>
                <w:sz w:val="20"/>
                <w:szCs w:val="20"/>
              </w:rPr>
              <w:t xml:space="preserve">Español y portugués, escritos, y la ausencia de una traducción impide compilar el proyecto. Buena parte de la clientela cruza desde Brasil.</w:t>
            </w:r>
          </w:p>
        </w:tc>
      </w:tr>
      <w:tr>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Compatibilidad entre piezas</w:t>
            </w:r>
          </w:p>
        </w:tc>
        <w:tc>
          <w:tcPr>
            <w:tcW w:type="dxa" w:w="3200"/>
            <w:shd w:fill="F7F9FB" w:val="clear"/>
            <w:tcMar>
              <w:top w:type="dxa" w:w="80"/>
              <w:left w:type="dxa" w:w="110"/>
              <w:bottom w:type="dxa" w:w="80"/>
              <w:right w:type="dxa" w:w="110"/>
            </w:tcMar>
          </w:tcPr>
          <w:p>
            <w:pPr>
              <w:spacing w:after="40" w:line="260"/>
            </w:pPr>
            <w:r>
              <w:rPr>
                <w:b w:val="false"/>
                <w:bCs w:val="false"/>
                <w:color w:val="1A232C"/>
                <w:sz w:val="20"/>
                <w:szCs w:val="20"/>
              </w:rPr>
              <w:t xml:space="preserve">No la verifica: el comprador arma bajo su responsabilidad.</w:t>
            </w:r>
          </w:p>
        </w:tc>
        <w:tc>
          <w:tcPr>
            <w:tcW w:type="dxa" w:w="4126"/>
            <w:shd w:fill="F7F9FB" w:val="clear"/>
            <w:tcMar>
              <w:top w:type="dxa" w:w="80"/>
              <w:left w:type="dxa" w:w="110"/>
              <w:bottom w:type="dxa" w:w="80"/>
              <w:right w:type="dxa" w:w="110"/>
            </w:tcMar>
          </w:tcPr>
          <w:p>
            <w:pPr>
              <w:spacing w:after="40" w:line="260"/>
            </w:pPr>
            <w:r>
              <w:rPr>
                <w:b w:val="false"/>
                <w:bCs w:val="false"/>
                <w:color w:val="1A232C"/>
                <w:sz w:val="20"/>
                <w:szCs w:val="20"/>
              </w:rPr>
              <w:t xml:space="preserve">La verifica antes de la compra y explica en castellano llano qué no encaja. Es la consulta que más tiempo consume por mensajería y la causa más común de devolución.</w:t>
            </w:r>
          </w:p>
        </w:tc>
      </w:tr>
    </w:tbl>
    <w:p>
      <w:pPr>
        <w:spacing w:after="160" w:before="160"/>
      </w:pPr>
      <w:r>
        <w:t xml:space="preserve">En síntesis, lo que el sistema no hace no es una etapa pendiente sino el límite elegido: publica, calcula, verifica y deja constancia, y entrega el pedido armado a la persona que cierra la venta.</w:t>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6E4EC"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6E4EC"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6E4EC"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shd w:fill="F7F9FB" w:val="clear"/>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shd w:fill="F7F9FB" w:val="clear"/>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shd w:fill="F7F9FB" w:val="clear"/>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3"/>
        <w:spacing w:after="120" w:before="220"/>
      </w:pPr>
      <w:r>
        <w:t xml:space="preserve">Medios de pago expresamente no implementados</w:t>
      </w:r>
    </w:p>
    <w:p>
      <w:pPr>
        <w:spacing w:after="120" w:line="276"/>
      </w:pPr>
      <w:r>
        <w:t xml:space="preserve">La restricción anterior se detalla aquí medio por medio, porque enunciar «no procesa pagos» deja al lector suponiendo cuál de ellos sí. Ninguno de los siguientes está integrado, y ninguno figura como trabajo pendiente del alcance vigente: la transacción económica ocurre fuera del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shd w:fill="D6E4EC" w:val="clear"/>
            <w:tcMar>
              <w:top w:type="dxa" w:w="80"/>
              <w:left w:type="dxa" w:w="110"/>
              <w:bottom w:type="dxa" w:w="80"/>
              <w:right w:type="dxa" w:w="110"/>
            </w:tcMar>
          </w:tcPr>
          <w:p>
            <w:pPr>
              <w:spacing w:after="40" w:line="260"/>
            </w:pPr>
            <w:r>
              <w:rPr>
                <w:b/>
                <w:bCs/>
                <w:color w:val="1F3864"/>
                <w:sz w:val="20"/>
                <w:szCs w:val="20"/>
              </w:rPr>
              <w:t xml:space="preserve">Medio de pago</w:t>
            </w:r>
          </w:p>
        </w:tc>
        <w:tc>
          <w:tcPr>
            <w:tcW w:type="dxa" w:w="3600"/>
            <w:shd w:fill="D6E4EC" w:val="clear"/>
            <w:tcMar>
              <w:top w:type="dxa" w:w="80"/>
              <w:left w:type="dxa" w:w="110"/>
              <w:bottom w:type="dxa" w:w="80"/>
              <w:right w:type="dxa" w:w="110"/>
            </w:tcMar>
          </w:tcPr>
          <w:p>
            <w:pPr>
              <w:spacing w:after="40" w:line="260"/>
            </w:pPr>
            <w:r>
              <w:rPr>
                <w:b/>
                <w:bCs/>
                <w:color w:val="1F3864"/>
                <w:sz w:val="20"/>
                <w:szCs w:val="20"/>
              </w:rPr>
              <w:t xml:space="preserve">Situación en el sistema</w:t>
            </w:r>
          </w:p>
        </w:tc>
        <w:tc>
          <w:tcPr>
            <w:tcW w:type="dxa" w:w="3326"/>
            <w:shd w:fill="D6E4EC" w:val="clear"/>
            <w:tcMar>
              <w:top w:type="dxa" w:w="80"/>
              <w:left w:type="dxa" w:w="110"/>
              <w:bottom w:type="dxa" w:w="80"/>
              <w:right w:type="dxa" w:w="110"/>
            </w:tcMar>
          </w:tcPr>
          <w:p>
            <w:pPr>
              <w:spacing w:after="40" w:line="260"/>
            </w:pPr>
            <w:r>
              <w:rPr>
                <w:b/>
                <w:bCs/>
                <w:color w:val="1F3864"/>
                <w:sz w:val="20"/>
                <w:szCs w:val="20"/>
              </w:rPr>
              <w:t xml:space="preserve">Qué ocurre en su lugar</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Tarjeta de crédito o débito</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implementado. No existe formulario, campo ni almacenamiento de datos de tarjeta en ninguna pantalla ni en el modelo de datos.</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El cobro se acuerda en la conversación de WhatsApp y se concreta en el local.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Pasarela de pagos (Pagopar, Bancard y equivalentes)</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integrada. El sistema no realiza llamada alguna a servicios de cobro ni recibe notificaciones de acreditación.</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El estado del pedido lo actualiza el operador desde el panel, según lo que constate por fuera.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Billetera electrónica con código QR</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implementado. El sistema no genera ni interpreta códigos QR de cobro.</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Si el cliente paga por billetera, lo coordina por la conversación; el sistema no se entera.</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Transferencia bancaria automatizada</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implementada. No hay conciliación automática ni verificación de acreditación.</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El operador confirma la transferencia por su cuenta y mueve el estado del pedido a mano.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Financiación en cuotas</w:t>
            </w:r>
          </w:p>
        </w:tc>
        <w:tc>
          <w:tcPr>
            <w:tcW w:type="dxa" w:w="3600"/>
            <w:tcMar>
              <w:top w:type="dxa" w:w="80"/>
              <w:left w:type="dxa" w:w="110"/>
              <w:bottom w:type="dxa" w:w="80"/>
              <w:right w:type="dxa" w:w="110"/>
            </w:tcMar>
          </w:tcPr>
          <w:p>
            <w:pPr>
              <w:spacing w:after="40" w:line="260"/>
            </w:pPr>
            <w:r>
              <w:rPr>
                <w:b w:val="false"/>
                <w:bCs w:val="false"/>
                <w:color w:val="1A232C"/>
                <w:sz w:val="20"/>
                <w:szCs w:val="20"/>
              </w:rPr>
              <w:t xml:space="preserve">No implementada. El sistema no calcula intereses, planes ni vencimientos.</w:t>
            </w:r>
          </w:p>
        </w:tc>
        <w:tc>
          <w:tcPr>
            <w:tcW w:type="dxa" w:w="3326"/>
            <w:tcMar>
              <w:top w:type="dxa" w:w="80"/>
              <w:left w:type="dxa" w:w="110"/>
              <w:bottom w:type="dxa" w:w="80"/>
              <w:right w:type="dxa" w:w="110"/>
            </w:tcMar>
          </w:tcPr>
          <w:p>
            <w:pPr>
              <w:spacing w:after="40" w:line="260"/>
            </w:pPr>
            <w:r>
              <w:rPr>
                <w:b w:val="false"/>
                <w:bCs w:val="false"/>
                <w:color w:val="1A232C"/>
                <w:sz w:val="20"/>
                <w:szCs w:val="20"/>
              </w:rPr>
              <w:t xml:space="preserve">Cualquier acuerdo de cuotas es ajeno al software y no queda registrado en él.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Emisión de comprobante tributario</w:t>
            </w:r>
          </w:p>
        </w:tc>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No implementada. El pedido registrado no es una factura ni sustituye a ninguna.</w:t>
            </w:r>
          </w:p>
        </w:tc>
        <w:tc>
          <w:tcPr>
            <w:tcW w:type="dxa" w:w="3326"/>
            <w:shd w:fill="F7F9FB" w:val="clear"/>
            <w:tcMar>
              <w:top w:type="dxa" w:w="80"/>
              <w:left w:type="dxa" w:w="110"/>
              <w:bottom w:type="dxa" w:w="80"/>
              <w:right w:type="dxa" w:w="110"/>
            </w:tcMar>
          </w:tcPr>
          <w:p>
            <w:pPr>
              <w:spacing w:after="40" w:line="260"/>
            </w:pPr>
            <w:r>
              <w:rPr>
                <w:b w:val="false"/>
                <w:bCs w:val="false"/>
                <w:color w:val="1A232C"/>
                <w:sz w:val="20"/>
                <w:szCs w:val="20"/>
              </w:rPr>
              <w:t xml:space="preserve">La documentación legal se emite por los medios habituales del comercio.</w:t>
            </w:r>
          </w:p>
        </w:tc>
      </w:tr>
    </w:tbl>
    <w:p>
      <w:pPr>
        <w:spacing w:after="160" w:before="160"/>
      </w:pPr>
      <w:r>
        <w:t xml:space="preserve">En consecuencia, el importe que el sistema calcula y transmite tiene valor informativo y de acuerdo comercial, no de cobro. El registro de un pedido no acredita pago alguno, y el estado «Confirmado» significa que el operador dio por firme la venta, no que el dinero haya ingresado.</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pBdr>
          <w:bottom w:val="single" w:color="0B6E97" w:sz="12" w:space="6"/>
        </w:pBdr>
        <w:spacing w:after="200" w:before="40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enumerando sus componentes.</w:t>
      </w:r>
    </w:p>
    <w:p>
      <w:pPr>
        <w:spacing w:after="120" w:line="276"/>
      </w:pPr>
      <w:r>
        <w:t xml:space="preserve">Se especifican a continuación los veintiún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«Iniciar sesión en el panel». Figura 25, componente «Guardia de sesión y rol». Figura 1, bloque «Control de acceso por rol». Ficha completa de la función: Figura 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00" w:before="200"/>
        <w:jc w:val="center"/>
      </w:pPr>
      <w:r>
        <w:drawing>
          <wp:inline distT="0" distB="0" distL="0" distR="0">
            <wp:extent cx="6096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676525"/>
                    </a:xfrm>
                    <a:prstGeom prst="rect">
                      <a:avLst/>
                    </a:prstGeom>
                  </pic:spPr>
                </pic:pic>
              </a:graphicData>
            </a:graphic>
          </wp:inline>
        </w:drawing>
      </w:r>
    </w:p>
    <w:p>
      <w:pPr>
        <w:spacing w:after="240"/>
        <w:jc w:val="center"/>
      </w:pPr>
      <w:r>
        <w:rPr>
          <w:i/>
          <w:iCs/>
          <w:color w:val="5B6875"/>
          <w:sz w:val="18"/>
          <w:szCs w:val="18"/>
        </w:rPr>
        <w:t xml:space="preserve">Figura 3 — RF01. Vistas de la función: quién la usa, cómo responde el sistema.</w:t>
      </w:r>
    </w:p>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«Consultar y filtrar el catálogo». Figura 2, primer bloque del recorrido. Figura 1, bloque «Catálogo». Ficha completa de la función: Figura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4 — RF02. Vistas de la función: quién la usa, cómo responde el sistema y de qué componentes se sirve.</w:t>
      </w:r>
    </w:p>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«Buscar sin acentos ni mayúsculas». Figura 1, bloque «Catálogo · filtros y búsqueda». Ficha completa de la función: Figura 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5 — RF03. Vistas de la función: quién la usa, cómo responde el sistema.</w:t>
      </w:r>
    </w:p>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«Elegir variante de un producto». Figura 2, decisión «¿La pieza tiene variantes?». Ficha completa de la función: Figura 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6 — RF04. Vistas de la función: quién la usa, cómo responde el sistema.</w:t>
      </w:r>
    </w:p>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«Comprar una pieza directo». Figura 2, salida «FORMATO 1». Ficha completa de la función: Figura 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7 — RF05. Vistas de la función: quién la usa, cómo responde el sistema y de qué componentes se sirve.</w:t>
      </w:r>
    </w:p>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«Gestionar el carrito». Figura 2, bloque «Agrega al carrito». Figura 26, pasos 3 y 4. Ficha completa de la función: Figura 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8 — RF06. Vistas de la función: quién la usa, cómo responde el sistema.</w:t>
      </w:r>
    </w:p>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«Verificar compatibilidad». Figura 1, bloque «Configurador». Ficha completa de la función: Figura 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00" w:before="20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266950"/>
                    </a:xfrm>
                    <a:prstGeom prst="rect">
                      <a:avLst/>
                    </a:prstGeom>
                  </pic:spPr>
                </pic:pic>
              </a:graphicData>
            </a:graphic>
          </wp:inline>
        </w:drawing>
      </w:r>
    </w:p>
    <w:p>
      <w:pPr>
        <w:spacing w:after="240"/>
        <w:jc w:val="center"/>
      </w:pPr>
      <w:r>
        <w:rPr>
          <w:i/>
          <w:iCs/>
          <w:color w:val="5B6875"/>
          <w:sz w:val="18"/>
          <w:szCs w:val="18"/>
        </w:rPr>
        <w:t xml:space="preserve">Figura 9 — RF07. Vistas de la función: quién la usa, cómo responde el sistema.</w:t>
      </w:r>
    </w:p>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 precio en tres monedas». Figura 26, paso 2. Figura 25, componente «Conversión de moneda». Ficha completa de la función: Figura 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10 — RF08. Vistas de la función: quién la usa, cómo responde el sistema y de qué componentes se sirve.</w:t>
      </w:r>
    </w:p>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«Aplicar cupón de descuento». Figura 2, decisión «¿Aplica cupón?». Figura 26, fragmento «opcional». Ficha completa de la función: Figura 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11 — RF09. Vistas de la función: quién la usa, cómo responde el sistema.</w:t>
      </w:r>
    </w:p>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«Registrar el pedido». Figura 2, bloque «place_order». Figura 26, paso 8 y fragmento «alt». Ficha completa de la función: Figura 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00" w:before="200"/>
        <w:jc w:val="center"/>
      </w:pPr>
      <w:r>
        <w:drawing>
          <wp:inline distT="0" distB="0" distL="0" distR="0">
            <wp:extent cx="6096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076575"/>
                    </a:xfrm>
                    <a:prstGeom prst="rect">
                      <a:avLst/>
                    </a:prstGeom>
                  </pic:spPr>
                </pic:pic>
              </a:graphicData>
            </a:graphic>
          </wp:inline>
        </w:drawing>
      </w:r>
    </w:p>
    <w:p>
      <w:pPr>
        <w:spacing w:after="240"/>
        <w:jc w:val="center"/>
      </w:pPr>
      <w:r>
        <w:rPr>
          <w:i/>
          <w:iCs/>
          <w:color w:val="5B6875"/>
          <w:sz w:val="18"/>
          <w:szCs w:val="18"/>
        </w:rPr>
        <w:t xml:space="preserve">Figura 12 — RF10. Vistas de la función: quién la usa, cómo responde el sistema y de qué componentes se sirve.</w:t>
      </w:r>
    </w:p>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«Generar mensaje del pedido», enlazado por «include» desde el registro. Figura 2, salida «FORMATO 2». Figura 26, pasos 11 a 14. Ficha completa de la función: Figura 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13 — RF11. Vistas de la función: quién la usa, cómo responde el sistema y de qué componentes se sirve.</w:t>
      </w:r>
    </w:p>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productos y variantes». Figura 1, bloque «Inventario». Ficha completa de la función: Figura 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14 — RF12. Vistas de la función: quién la usa, cómo responde el sistema y de qué componentes se sirve.</w:t>
      </w:r>
    </w:p>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«Controlar existencias». Figura 1, bloque «Inventario». Figura 26, autollamada de descuento de unidades. Ficha completa de la función: Figura 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00" w:before="200"/>
        <w:jc w:val="center"/>
      </w:pPr>
      <w:r>
        <w:drawing>
          <wp:inline distT="0" distB="0" distL="0" distR="0">
            <wp:extent cx="6096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085975"/>
                    </a:xfrm>
                    <a:prstGeom prst="rect">
                      <a:avLst/>
                    </a:prstGeom>
                  </pic:spPr>
                </pic:pic>
              </a:graphicData>
            </a:graphic>
          </wp:inline>
        </w:drawing>
      </w:r>
    </w:p>
    <w:p>
      <w:pPr>
        <w:spacing w:after="240"/>
        <w:jc w:val="center"/>
      </w:pPr>
      <w:r>
        <w:rPr>
          <w:i/>
          <w:iCs/>
          <w:color w:val="5B6875"/>
          <w:sz w:val="18"/>
          <w:szCs w:val="18"/>
        </w:rPr>
        <w:t xml:space="preserve">Figura 15 — RF13. Vistas de la función: quién la usa, cómo responde el sistema.</w:t>
      </w:r>
    </w:p>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«Configurar precios y tasa». Figura 1, bloque «Precios». Ficha completa de la función: Figura 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00" w:before="200"/>
        <w:jc w:val="center"/>
      </w:pPr>
      <w:r>
        <w:drawing>
          <wp:inline distT="0" distB="0" distL="0" distR="0">
            <wp:extent cx="6096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886075"/>
                    </a:xfrm>
                    <a:prstGeom prst="rect">
                      <a:avLst/>
                    </a:prstGeom>
                  </pic:spPr>
                </pic:pic>
              </a:graphicData>
            </a:graphic>
          </wp:inline>
        </w:drawing>
      </w:r>
    </w:p>
    <w:p>
      <w:pPr>
        <w:spacing w:after="240"/>
        <w:jc w:val="center"/>
      </w:pPr>
      <w:r>
        <w:rPr>
          <w:i/>
          <w:iCs/>
          <w:color w:val="5B6875"/>
          <w:sz w:val="18"/>
          <w:szCs w:val="18"/>
        </w:rPr>
        <w:t xml:space="preserve">Figura 16 — RF14. Vistas de la función: quién la usa, cómo responde el sistema y de qué componentes se sirve.</w:t>
      </w:r>
    </w:p>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cupones». Figura 1, bloque «Cupones». Ficha completa de la función: Figura 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17 — RF15. Vistas de la función: quién la usa, cómo responde el sistema.</w:t>
      </w:r>
    </w:p>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«Seguir los pedidos». Figura 1, bloque «Pedidos». Ficha completa de la función: Figura 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00" w:before="200"/>
        <w:jc w:val="center"/>
      </w:pPr>
      <w:r>
        <w:drawing>
          <wp:inline distT="0" distB="0" distL="0" distR="0">
            <wp:extent cx="6096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457450"/>
                    </a:xfrm>
                    <a:prstGeom prst="rect">
                      <a:avLst/>
                    </a:prstGeom>
                  </pic:spPr>
                </pic:pic>
              </a:graphicData>
            </a:graphic>
          </wp:inline>
        </w:drawing>
      </w:r>
    </w:p>
    <w:p>
      <w:pPr>
        <w:spacing w:after="240"/>
        <w:jc w:val="center"/>
      </w:pPr>
      <w:r>
        <w:rPr>
          <w:i/>
          <w:iCs/>
          <w:color w:val="5B6875"/>
          <w:sz w:val="18"/>
          <w:szCs w:val="18"/>
        </w:rPr>
        <w:t xml:space="preserve">Figura 18 — RF16. Vistas de la función: quién la usa, cómo responde el sistema.</w:t>
      </w:r>
    </w:p>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«Crear cuentas del panel», alcanzable solo desde el actor Moderador. Figura 25, componente «Gestión de cuentas». Ficha completa de la función: Figura 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19 — RF17. Vistas de la función: quién la usa, cómo responde el sistema y de qué componentes se sirve.</w:t>
      </w:r>
    </w:p>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«Retirar y devolver acceso». Figura 25, componentes «Gestión de cuentas» y «Políticas de seguridad por fila». Ficha completa de la función: Figura 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20 — RF18. Vistas de la función: quién la usa, cómo responde el sistema y de qué componentes se sirve.</w:t>
      </w:r>
    </w:p>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«Cambiar la contraseña propia», alcanzable por ambos perfiles. Figura 25, componente «Autenticación». Ficha completa de la función: Figura 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00" w:before="20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495550"/>
                    </a:xfrm>
                    <a:prstGeom prst="rect">
                      <a:avLst/>
                    </a:prstGeom>
                  </pic:spPr>
                </pic:pic>
              </a:graphicData>
            </a:graphic>
          </wp:inline>
        </w:drawing>
      </w:r>
    </w:p>
    <w:p>
      <w:pPr>
        <w:spacing w:after="240"/>
        <w:jc w:val="center"/>
      </w:pPr>
      <w:r>
        <w:rPr>
          <w:i/>
          <w:iCs/>
          <w:color w:val="5B6875"/>
          <w:sz w:val="18"/>
          <w:szCs w:val="18"/>
        </w:rPr>
        <w:t xml:space="preserve">Figura 21 — RF19. Vistas de la función: quién la usa, cómo responde el sistema.</w:t>
      </w:r>
    </w:p>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«Dar de baja pedidos». Figura 25, componente «Funciones transaccionales». Ficha completa de la función: Figura 22.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00" w:before="200"/>
        <w:jc w:val="center"/>
      </w:pPr>
      <w:r>
        <w:drawing>
          <wp:inline distT="0" distB="0" distL="0" distR="0">
            <wp:extent cx="6096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875"/>
          <w:sz w:val="18"/>
          <w:szCs w:val="18"/>
        </w:rPr>
        <w:t xml:space="preserve">Figura 22 — RF20. Vistas de la función: quién la usa, cómo responde el sistema y de qué componentes se sirve.</w:t>
      </w:r>
    </w:p>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«Restablecer clave ajena». Figura 25, componentes «Gestión de cuentas» y «Autenticación». Ficha completa de la función: Figura 23.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23 — RF21. Vistas de la función: quién la usa, cómo responde el sistema y de qué componentes se sirve.</w:t>
      </w:r>
    </w:p>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6E4EC"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6E4EC"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6E4EC"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637,2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6E4EC"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6E4EC"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6E4EC"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6E4EC"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cuatro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24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25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26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27 — Diagrama de clases. Entidades persistentes, atributos con significado comercial y relaciones. La relación completa de columnas está en el Apéndice A.</w:t>
      </w:r>
    </w:p>
    <w:p>
      <w:r>
        <w:br w:type="page"/>
      </w:r>
    </w:p>
    <w:p>
      <w:pPr>
        <w:pStyle w:val="Heading1"/>
        <w:pBdr>
          <w:bottom w:val="single" w:color="0B6E97" w:sz="12" w:space="6"/>
        </w:pBdr>
        <w:spacing w:after="200" w:before="40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27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6E4EC"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6E4EC"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5b1ec12b6c3af7419caf4d435c189a00c62768.png"/><Relationship Id="rId10" Type="http://schemas.openxmlformats.org/officeDocument/2006/relationships/image" Target="media/61be1509be89c23b335acc3e9afbca6bb57ae5c5.png"/><Relationship Id="rId11" Type="http://schemas.openxmlformats.org/officeDocument/2006/relationships/image" Target="media/0dd3695510f57be1cb4b3d2be2447e9225bfeb6c.png"/><Relationship Id="rId12" Type="http://schemas.openxmlformats.org/officeDocument/2006/relationships/image" Target="media/3528cfbe9a998c853d4c97a4b73ac035b24a7bdf.png"/><Relationship Id="rId13" Type="http://schemas.openxmlformats.org/officeDocument/2006/relationships/image" Target="media/fe3182563e9fdd4037ced53dd43ed7e933cda795.png"/><Relationship Id="rId14" Type="http://schemas.openxmlformats.org/officeDocument/2006/relationships/image" Target="media/1e550a998596e7075019331e4e2b6d9810ed272c.png"/><Relationship Id="rId15" Type="http://schemas.openxmlformats.org/officeDocument/2006/relationships/image" Target="media/bf56207a20cc1727e68cd50c3d2ec7041593052e.png"/><Relationship Id="rId16" Type="http://schemas.openxmlformats.org/officeDocument/2006/relationships/image" Target="media/9a75d162d1e315bb77e05bf296f653d814e0dc25.png"/><Relationship Id="rId17" Type="http://schemas.openxmlformats.org/officeDocument/2006/relationships/image" Target="media/c4c61a9508f4fc30eab660075410882517cb9b04.png"/><Relationship Id="rId18" Type="http://schemas.openxmlformats.org/officeDocument/2006/relationships/image" Target="media/45460ac7e337bf6bf6790ab35acb2167c9d578b5.png"/><Relationship Id="rId19" Type="http://schemas.openxmlformats.org/officeDocument/2006/relationships/image" Target="media/0b92ee96bbd248a52471738a35ae15e432f4e008.png"/><Relationship Id="rId20" Type="http://schemas.openxmlformats.org/officeDocument/2006/relationships/image" Target="media/193c4bb044f3a069f27fa3b8790a00869163175e.png"/><Relationship Id="rId21" Type="http://schemas.openxmlformats.org/officeDocument/2006/relationships/image" Target="media/3b96ae019df628e88917f8210116a7abe687cf4b.png"/><Relationship Id="rId22" Type="http://schemas.openxmlformats.org/officeDocument/2006/relationships/image" Target="media/d1e876948016c1a4b75d8f78a2e11e7440e53f04.png"/><Relationship Id="rId23" Type="http://schemas.openxmlformats.org/officeDocument/2006/relationships/image" Target="media/b4e34e77e6e2205e802ee5e7c183a11eb7bd20a6.png"/><Relationship Id="rId24" Type="http://schemas.openxmlformats.org/officeDocument/2006/relationships/image" Target="media/6ad0f9abcd8f7ced67ac91acfde5d8dcdbc8242a.png"/><Relationship Id="rId25" Type="http://schemas.openxmlformats.org/officeDocument/2006/relationships/image" Target="media/d763b27995cb5ef1252270825fc50f511523dc09.png"/><Relationship Id="rId26" Type="http://schemas.openxmlformats.org/officeDocument/2006/relationships/image" Target="media/eb3c842e8807dc8db285c3ff28c95956248e7018.png"/><Relationship Id="rId27" Type="http://schemas.openxmlformats.org/officeDocument/2006/relationships/image" Target="media/ed6dd3cf7ead6af477ef74bdd14e09d41e8d6143.png"/><Relationship Id="rId28" Type="http://schemas.openxmlformats.org/officeDocument/2006/relationships/image" Target="media/a5e14d29d5830c5e2f896025c568884b082aab0d.png"/><Relationship Id="rId29" Type="http://schemas.openxmlformats.org/officeDocument/2006/relationships/image" Target="media/7c6dcb8acf64e5c06ec10a0f0e3d1a390477f363.png"/><Relationship Id="rId30" Type="http://schemas.openxmlformats.org/officeDocument/2006/relationships/image" Target="media/66c5d53a4cf68477176919b5e6ef8d77d1aa9249.png"/><Relationship Id="rId31" Type="http://schemas.openxmlformats.org/officeDocument/2006/relationships/image" Target="media/7c651cf43a9650d54589bd3ffb3a8e9e55a1c58e.png"/><Relationship Id="rId32" Type="http://schemas.openxmlformats.org/officeDocument/2006/relationships/image" Target="media/3d7a11c33012cdea6d126b6601614acd04a4f08e.png"/><Relationship Id="rId33" Type="http://schemas.openxmlformats.org/officeDocument/2006/relationships/image" Target="media/942bba7f8aeb48b3ca89a128232220e0420a2612.png"/><Relationship Id="rId34" Type="http://schemas.openxmlformats.org/officeDocument/2006/relationships/image" Target="media/37759f7d29259092d9d76de3b43ccc379ac9fd11.png"/><Relationship Id="rId35" Type="http://schemas.openxmlformats.org/officeDocument/2006/relationships/image" Target="media/6dfe9c36a1dbe829ea2dbd6b38893ea39b80d5c7.png"/><Relationship Id="rId36" Type="http://schemas.openxmlformats.org/officeDocument/2006/relationships/image" Target="media/aad533a6bff3ae92fbc1e5c7513c9b666a8f3864.png"/><Relationship Id="rId37" Type="http://schemas.openxmlformats.org/officeDocument/2006/relationships/image" Target="media/780c7456b655e8c6f48034f360ba858726e5038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2026-10-11T21:24:21.431Z</dcterms:created>
  <dcterms:modified xsi:type="dcterms:W3CDTF">2026-10-11T21:24:21.431Z</dcterms:modified>
</cp:coreProperties>
</file>

<file path=docProps/custom.xml><?xml version="1.0" encoding="utf-8"?>
<Properties xmlns="http://schemas.openxmlformats.org/officeDocument/2006/custom-properties" xmlns:vt="http://schemas.openxmlformats.org/officeDocument/2006/docPropsVTypes"/>
</file>