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veintiún requisitos funcionales con sus precondiciones y postcondiciones SQL, los requisitos no funcionales con sus métricas de verificación y el modelado UML del sistema.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Enlace oficial de WhatsApp, api.whatsapp.com/send, con parámetros codificados. Se descartó el acortador wa.me porque su redirección altera los caracteres fuera del alfabeto latino básico.</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«Iniciar sesión en el panel». Figura 4, componente «Guardia de sesión y rol». Figura 1, bloque «Control de acceso por rol».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«Consultar y filtrar el catálogo». Figura 2, primer bloque del recorrido. Figura 1, bloque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«Buscar sin acentos ni mayúsculas». Figura 1, bloque «Catálogo · filtros y búsqueda».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«Elegir variante de un producto». Figura 2, decisión «¿La pieza tiene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oficial api.whatsapp.com/send con el mensaje codificado mediante encodeURIComponent. No se emplea el atajo wa.me: al redirigir altera los caracteres fuera del alfabeto latino básico y desfigura los emojis del mensaje.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«Comprar una pieza directo». Figura 2, salida «FORMATO 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«Gestionar el carrito». Figura 2, bloque «Agrega al carrito». Figura 5, pasos 3 y 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«Verificar compatibilidad». Figura 1, bloque «Configurador».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«Ver precio en tres monedas». Figura 5, paso 2. Figura 4, componente «Conversión de 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«Aplicar cupón de descuento». Figura 2, decisión «¿Aplica cupón?». Figura 5, fragmento «opcional».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«Registrar el pedido». Figura 2, bloque «place_order». Figura 5, paso 8 y fragmento «alt».</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oficial api.whatsapp.com/send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«Generar mensaje del pedido», enlazado por «include» desde el registro. Figura 2, salida «FORMATO 2». Figura 5, pasos 11 a 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«Administrar productos y variantes». Figura 1, bloque «Inventario».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«Controlar existencias». Figura 1, bloque «Inventario». Figura 5, autollamada de descuento de unidades.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«Configurar precios y tasa». Figura 1, bloque «Precios».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«Administrar cupones». Figura 1, bloque «Cupones».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«Seguir los pedidos». Figura 1, bloque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«Crear cuentas del panel», alcanzable solo desde el actor Moderador. Figura 4, componente «Gestión de cuentas».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«Retirar y devolver acceso». Figura 4, componentes «Gestión de cuentas» y «Políticas de seguridad por fila».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«Cambiar la contraseña propia», alcanzable por ambos perfiles. Figura 4, componente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«Dar de baja pedidos». Figura 4, componente «Funciones transaccionales».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3, caso de uso «Restablecer clave ajena». Figura 4, componentes «Gestión de cuentas» y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2"/>
        <w:spacing w:after="140" w:before="280"/>
      </w:pPr>
      <w:r>
        <w:t xml:space="preserve">3.7 Modelado UML del Sistema</w:t>
      </w:r>
    </w:p>
    <w:p>
      <w:pPr>
        <w:spacing w:after="120" w:line="276"/>
      </w:pPr>
      <w:r>
        <w:t xml:space="preserve">Los tres diagramas siguientes describen el sistema en notación UML 2.5 y se corresponden con lo especificado en los apartados anteriores: ningún elemento aparece en ellos que no esté antes enunciado como requisito. Cada caso de uso lleva la referencia del requisito funcional que lo define, de modo que el diagrama y el texto puedan contrastarse punto por punto.</w:t>
      </w:r>
    </w:p>
    <w:p>
      <w:pPr>
        <w:spacing w:after="120" w:line="276"/>
      </w:pPr>
      <w:r>
        <w:t xml:space="preserve">El primero identifica quiénes usan el sistema y qué alcanza cada uno. Es la respuesta a una pregunta que el diagrama de bloques del apartado 2.1 no contesta: allí se ven las fronteras del sistema, pero no los actores ni sus permisos. Se distinguen tres, más un sistema externo. El cliente nunca se autentica, porque el sistema no le exige cuenta; el administrador opera la tienda; y el moderador es un administrador que además gobierna las cuentas del panel y da de baja pedidos. Esa relación se representa como una generalización de actores, y no como dos actores independientes, porque el moderador no tiene permisos distintos sino permisos adicionales.</w:t>
      </w:r>
    </w:p>
    <w:p>
      <w:pPr>
        <w:spacing w:after="100" w:before="200"/>
        <w:jc w:val="center"/>
      </w:pPr>
      <w:r>
        <w:drawing>
          <wp:inline distT="0" distB="0" distL="0" distR="0">
            <wp:extent cx="6096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610100"/>
                    </a:xfrm>
                    <a:prstGeom prst="rect">
                      <a:avLst/>
                    </a:prstGeom>
                  </pic:spPr>
                </pic:pic>
              </a:graphicData>
            </a:graphic>
          </wp:inline>
        </w:drawing>
      </w:r>
    </w:p>
    <w:p>
      <w:pPr>
        <w:spacing w:after="240"/>
        <w:jc w:val="center"/>
      </w:pPr>
      <w:r>
        <w:rPr>
          <w:i/>
          <w:iCs/>
          <w:color w:val="5B6875"/>
          <w:sz w:val="18"/>
          <w:szCs w:val="18"/>
        </w:rPr>
        <w:t xml:space="preserve">Figura 3 — Diagrama de casos de uso. Los actores del sistema y las funciones que cada uno alcanza, referidas al requisito funcional que las define.</w:t>
      </w:r>
    </w:p>
    <w:p>
      <w:r>
        <w:br w:type="page"/>
      </w:r>
    </w:p>
    <w:p>
      <w:pPr>
        <w:spacing w:after="120" w:line="276"/>
      </w:pPr>
      <w:r>
        <w:t xml:space="preserve">El segundo muestra de qué partes está hecho el sistema y de cuáles depende cada una. Interesa especialmente dónde se ejecuta cada componente, porque de eso depende la seguridad: la clave de servicio de la base de datos vive únicamente en el nodo del servidor y jamás se transfiere al navegador, que solo recibe la clave anónima sometida a las políticas de seguridad por fila. Las funciones transaccionales figuran como componente propio de la base y no del servidor, porque es allí donde se releen los precios y se descuentan las existencias.</w:t>
      </w:r>
    </w:p>
    <w:p>
      <w:pPr>
        <w:spacing w:after="100" w:before="20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219575"/>
                    </a:xfrm>
                    <a:prstGeom prst="rect">
                      <a:avLst/>
                    </a:prstGeom>
                  </pic:spPr>
                </pic:pic>
              </a:graphicData>
            </a:graphic>
          </wp:inline>
        </w:drawing>
      </w:r>
    </w:p>
    <w:p>
      <w:pPr>
        <w:spacing w:after="240"/>
        <w:jc w:val="center"/>
      </w:pPr>
      <w:r>
        <w:rPr>
          <w:i/>
          <w:iCs/>
          <w:color w:val="5B6875"/>
          <w:sz w:val="18"/>
          <w:szCs w:val="18"/>
        </w:rPr>
        <w:t xml:space="preserve">Figura 4 — Diagrama de componentes. Estructura interna del sistema, nodos de ejecución y dependencias entre partes.</w:t>
      </w:r>
    </w:p>
    <w:p>
      <w:r>
        <w:br w:type="page"/>
      </w:r>
    </w:p>
    <w:p>
      <w:pPr>
        <w:spacing w:after="120" w:line="276"/>
      </w:pPr>
      <w:r>
        <w:t xml:space="preserve">El tercero describe el comportamiento del proceso central, que es el cierre de una venta, como una secuencia de acciones entre los participantes. Recoge los dos caminos que puede tomar el registro del pedido —existencias suficientes o insuficientes— y deja ver por qué el pedido se graba antes de abrir la conversación: de ese modo queda constancia comercial aunque el cliente no llegue a escribir, que era precisamente lo que el comercio no podía rastrear atendiendo solo por mensajería.</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5 — Diagrama de comportamiento. Secuencia de acciones del cierre de venta, con sus fragmentos opcional y alternativo.</w:t>
      </w:r>
    </w:p>
    <w:p>
      <w:r>
        <w:br w:type="page"/>
      </w:r>
    </w:p>
    <w:p>
      <w:pPr>
        <w:spacing w:after="120" w:line="276"/>
      </w:pPr>
      <w:r>
        <w:t xml:space="preserve">El cuarto traslada el modelo de datos del Apéndice A a notación de clases, que es la forma en que se lleva un esquema relacional a UML: cada entidad persistente con sus atributos y, sobre todo, las relaciones entre ellas. Dos detalles del negocio quedan a la vista en la propia notación. Las líneas de un pedido cuelgan de él por composición, de modo que al darlo de baja se van con él; en cambio la referencia de una línea al producto es débil y admite quedar en nulo, porque el registro de lo vendido tiene que sobrevivir a la eliminación de la pieza del catálogo. Y el cupón se vincula al pedido por su código y no por clave foránea, para que el pedido conserve el código aplicado aunque el cupón se elimine después.</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6 — Diagrama de clases. Entidades persistentes, atributos con significado comercial y relaciones. La relación completa de columnas está en el Apéndice A.</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 Su representación gráfica, con las relaciones y multiplicidades, es la Figura 6 del apartado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d3695510f57be1cb4b3d2be2447e9225bfeb6c.png"/><Relationship Id="rId10" Type="http://schemas.openxmlformats.org/officeDocument/2006/relationships/image" Target="media/3528cfbe9a998c853d4c97a4b73ac035b24a7bdf.png"/><Relationship Id="rId11" Type="http://schemas.openxmlformats.org/officeDocument/2006/relationships/image" Target="media/37759f7d29259092d9d76de3b43ccc379ac9fd11.png"/><Relationship Id="rId12" Type="http://schemas.openxmlformats.org/officeDocument/2006/relationships/image" Target="media/6dfe9c36a1dbe829ea2dbd6b38893ea39b80d5c7.png"/><Relationship Id="rId13" Type="http://schemas.openxmlformats.org/officeDocument/2006/relationships/image" Target="media/aad533a6bff3ae92fbc1e5c7513c9b666a8f3864.png"/><Relationship Id="rId14" Type="http://schemas.openxmlformats.org/officeDocument/2006/relationships/image" Target="media/b3dae8005bb4e065d68b0a6b82e2411fb186c82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2026-09-08T12:02:15.720Z</dcterms:created>
  <dcterms:modified xsi:type="dcterms:W3CDTF">2026-09-08T12:02:15.722Z</dcterms:modified>
</cp:coreProperties>
</file>

<file path=docProps/custom.xml><?xml version="1.0" encoding="utf-8"?>
<Properties xmlns="http://schemas.openxmlformats.org/officeDocument/2006/custom-properties" xmlns:vt="http://schemas.openxmlformats.org/officeDocument/2006/docPropsVTypes"/>
</file>