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total: inventario, variantes, precios, tasa de cambio, cupones y pedidos. Verificado por pertenencia a la tabla admin_users.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Ambas tasas son números mayores que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99 páginas generadas estáticamente en la compilación. Volumen de cliente: 601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automatizada con axe-core sobre 10 rutas en ambos idiomas: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72 pruebas unitarias y 35 pruebas de extremo a extremo. Verificación de tipos y análisis estático sin advertencias. Registro de decisiones en docs/adr/.</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Zonas de entrega con costo y umbral de bonificación.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Invocada por las políticas de seguridad de todas las tablas.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93 casos sobre dominio, carrito, compatibilidad, búsqueda, moneda,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93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85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85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en ambos idiomas,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619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99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2026-09-07T01:44:30.333Z</dcterms:created>
  <dcterms:modified xsi:type="dcterms:W3CDTF">2026-09-07T01:44:30.334Z</dcterms:modified>
</cp:coreProperties>
</file>

<file path=docProps/custom.xml><?xml version="1.0" encoding="utf-8"?>
<Properties xmlns="http://schemas.openxmlformats.org/officeDocument/2006/custom-properties" xmlns:vt="http://schemas.openxmlformats.org/officeDocument/2006/docPropsVTypes"/>
</file>