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40"/>
      </w:pPr>
    </w:p>
    <w:p>
      <w:pPr>
        <w:spacing w:after="0"/>
        <w:jc w:val="center"/>
      </w:pPr>
      <w:r>
        <w:drawing>
          <wp:inline distT="0" distB="0" distL="0" distR="0">
            <wp:extent cx="10287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28700" cy="1038225"/>
                    </a:xfrm>
                    <a:prstGeom prst="rect">
                      <a:avLst/>
                    </a:prstGeom>
                  </pic:spPr>
                </pic:pic>
              </a:graphicData>
            </a:graphic>
          </wp:inline>
        </w:drawing>
      </w:r>
    </w:p>
    <w:p>
      <w:pPr>
        <w:spacing w:after="40" w:before="200"/>
        <w:jc w:val="center"/>
      </w:pPr>
      <w:r>
        <w:rPr>
          <w:b/>
          <w:bCs/>
          <w:color w:val="1F3864"/>
          <w:spacing w:val="60"/>
          <w:sz w:val="30"/>
          <w:szCs w:val="30"/>
        </w:rPr>
        <w:t xml:space="preserve">UNIVERSIDAD SAN LORENZO</w:t>
      </w:r>
    </w:p>
    <w:p>
      <w:pPr>
        <w:spacing w:after="30"/>
        <w:jc w:val="center"/>
      </w:pPr>
      <w:r>
        <w:rPr>
          <w:b/>
          <w:bCs/>
          <w:color w:val="2E5B8C"/>
          <w:spacing w:val="40"/>
          <w:sz w:val="21"/>
          <w:szCs w:val="21"/>
        </w:rPr>
        <w:t xml:space="preserve">FACULTAD DE INGENIERÍA EN INFORMÁTICA</w:t>
      </w:r>
    </w:p>
    <w:p>
      <w:pPr>
        <w:spacing w:after="620"/>
        <w:jc w:val="center"/>
      </w:pPr>
      <w:r>
        <w:rPr>
          <w:color w:val="5B6875"/>
          <w:sz w:val="19"/>
          <w:szCs w:val="19"/>
        </w:rPr>
        <w:t xml:space="preserve">Taller de Lenguaje · Asignatura 135 · Décimo Semestre</w:t>
      </w:r>
    </w:p>
    <w:p>
      <w:pPr>
        <w:spacing w:after="40"/>
        <w:jc w:val="center"/>
      </w:pPr>
      <w:r>
        <w:rPr>
          <w:b/>
          <w:bCs/>
          <w:color w:val="12181F"/>
          <w:spacing w:val="30"/>
          <w:sz w:val="40"/>
          <w:szCs w:val="40"/>
        </w:rPr>
        <w:t xml:space="preserve">ESPECIFICACIÓN DE REQUISITOS</w:t>
      </w:r>
    </w:p>
    <w:p>
      <w:pPr>
        <w:spacing w:after="120"/>
        <w:jc w:val="center"/>
      </w:pPr>
      <w:r>
        <w:rPr>
          <w:b/>
          <w:bCs/>
          <w:color w:val="12181F"/>
          <w:spacing w:val="30"/>
          <w:sz w:val="40"/>
          <w:szCs w:val="40"/>
        </w:rPr>
        <w:t xml:space="preserve">DE SOFTWARE</w:t>
      </w:r>
    </w:p>
    <w:p>
      <w:pPr>
        <w:spacing w:after="500"/>
        <w:jc w:val="center"/>
      </w:pPr>
      <w:r>
        <w:rPr>
          <w:color w:val="0B6E97"/>
          <w:spacing w:val="30"/>
          <w:sz w:val="19"/>
          <w:szCs w:val="19"/>
        </w:rPr>
        <w:t xml:space="preserve">IEEE 830-1998  ·  ISO/IEC/IEEE 29148:2011</w:t>
      </w:r>
    </w:p>
    <w:p>
      <w:pPr>
        <w:pBdr>
          <w:top w:val="single" w:color="0B6E97" w:sz="10" w:space="14"/>
        </w:pBdr>
        <w:spacing w:after="0" w:before="0"/>
        <w:jc w:val="center"/>
      </w:pPr>
      <w:r>
        <w:rPr>
          <w:sz w:val="2"/>
          <w:szCs w:val="2"/>
        </w:rPr>
        <w:t xml:space="preserve"/>
      </w:r>
    </w:p>
    <w:p>
      <w:pPr>
        <w:spacing w:after="0"/>
        <w:jc w:val="center"/>
      </w:pPr>
      <w:r>
        <w:drawing>
          <wp:inline distT="0" distB="0" distL="0" distR="0">
            <wp:extent cx="2857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800100"/>
                    </a:xfrm>
                    <a:prstGeom prst="rect">
                      <a:avLst/>
                    </a:prstGeom>
                  </pic:spPr>
                </pic:pic>
              </a:graphicData>
            </a:graphic>
          </wp:inline>
        </w:drawing>
      </w:r>
    </w:p>
    <w:p>
      <w:pPr>
        <w:pBdr>
          <w:bottom w:val="single" w:color="0B6E97" w:sz="10" w:space="14"/>
        </w:pBdr>
        <w:spacing w:after="0" w:before="60"/>
        <w:jc w:val="center"/>
      </w:pPr>
      <w:r>
        <w:rPr>
          <w:color w:val="40546B"/>
          <w:sz w:val="19"/>
          <w:szCs w:val="19"/>
        </w:rPr>
        <w:t xml:space="preserve">Componentes para PC · Ciudad del Este, Paraguay</w:t>
      </w:r>
    </w:p>
    <w:p>
      <w:pPr>
        <w:spacing w:after="6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6E4EC"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6E4EC"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shd w:fill="F7F9FB" w:val="clear"/>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shd w:fill="F7F9FB" w:val="clear"/>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Cliente del sistema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Ciudad del Este, Paraguay</w:t>
            </w:r>
          </w:p>
        </w:tc>
      </w:tr>
      <w:tr>
        <w:tc>
          <w:tcPr>
            <w:tcW w:type="dxa" w:w="2800"/>
            <w:shd w:fill="F7F9FB" w:val="clear"/>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shd w:fill="F7F9FB" w:val="clear"/>
            <w:tcMar>
              <w:top w:type="dxa" w:w="80"/>
              <w:left w:type="dxa" w:w="110"/>
              <w:bottom w:type="dxa" w:w="80"/>
              <w:right w:type="dxa" w:w="110"/>
            </w:tcMar>
          </w:tcPr>
          <w:p>
            <w:pPr>
              <w:spacing w:after="40" w:line="260"/>
            </w:pPr>
            <w:r>
              <w:rPr>
                <w:b w:val="false"/>
                <w:bCs w:val="false"/>
                <w:color w:val="1A232C"/>
                <w:sz w:val="20"/>
                <w:szCs w:val="20"/>
              </w:rPr>
              <w:t xml:space="preserve">12 de octubre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2.0 — Final, con modelado UML completo</w:t>
            </w:r>
          </w:p>
        </w:tc>
      </w:tr>
    </w:tbl>
    <w:p>
      <w:r>
        <w:br w:type="page"/>
      </w:r>
    </w:p>
    <w:p>
      <w:pPr>
        <w:pStyle w:val="Heading1"/>
        <w:pBdr>
          <w:bottom w:val="single" w:color="0B6E97" w:sz="12" w:space="6"/>
        </w:pBdr>
        <w:spacing w:after="200" w:before="40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6E4EC"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6E4EC"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6E4EC"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6E4EC"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shd w:fill="F7F9FB" w:val="clear"/>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shd w:fill="F7F9FB" w:val="clear"/>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shd w:fill="F7F9FB" w:val="clear"/>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shd w:fill="F7F9FB" w:val="clear"/>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6E4EC"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6E4EC"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6E4EC"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shd w:fill="F7F9FB" w:val="clear"/>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pBdr>
          <w:bottom w:val="single" w:color="0B6E97" w:sz="12" w:space="6"/>
        </w:pBdr>
        <w:spacing w:after="200" w:before="40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B6E97" w:sz="12" w:space="6"/>
        </w:pBdr>
        <w:spacing w:after="200" w:before="40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6E4EC"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6E4EC"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Cobro por cualquier medio electrónico: tarjeta de crédito o débito, pasarela de pagos, billetera con código QR o transferencia automatizada. No existe integración ni campo alguno donde introducir datos de pago.</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6E4EC"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6E4EC"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shd w:fill="F7F9FB" w:val="clear"/>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6E4EC"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6E4EC"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pBdr>
          <w:bottom w:val="single" w:color="0B6E97" w:sz="12" w:space="6"/>
        </w:pBdr>
        <w:spacing w:after="200" w:before="40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6E4EC"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6E4EC"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6E4EC"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shd w:fill="F7F9FB" w:val="clear"/>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shd w:fill="F7F9FB" w:val="clear"/>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shd w:fill="F7F9FB" w:val="clear"/>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3"/>
        <w:spacing w:after="120" w:before="220"/>
      </w:pPr>
      <w:r>
        <w:t xml:space="preserve">Medios de pago expresamente no implementados</w:t>
      </w:r>
    </w:p>
    <w:p>
      <w:pPr>
        <w:spacing w:after="120" w:line="276"/>
      </w:pPr>
      <w:r>
        <w:t xml:space="preserve">La restricción anterior se detalla aquí medio por medio, porque enunciar «no procesa pagos» deja al lector suponiendo cuál de ellos sí. Ninguno de los siguientes está integrado, y ninguno figura como trabajo pendiente del alcance vigente: la transacción económica ocurre fuera del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shd w:fill="D6E4EC" w:val="clear"/>
            <w:tcMar>
              <w:top w:type="dxa" w:w="80"/>
              <w:left w:type="dxa" w:w="110"/>
              <w:bottom w:type="dxa" w:w="80"/>
              <w:right w:type="dxa" w:w="110"/>
            </w:tcMar>
          </w:tcPr>
          <w:p>
            <w:pPr>
              <w:spacing w:after="40" w:line="260"/>
            </w:pPr>
            <w:r>
              <w:rPr>
                <w:b/>
                <w:bCs/>
                <w:color w:val="1F3864"/>
                <w:sz w:val="20"/>
                <w:szCs w:val="20"/>
              </w:rPr>
              <w:t xml:space="preserve">Medio de pago</w:t>
            </w:r>
          </w:p>
        </w:tc>
        <w:tc>
          <w:tcPr>
            <w:tcW w:type="dxa" w:w="3600"/>
            <w:shd w:fill="D6E4EC" w:val="clear"/>
            <w:tcMar>
              <w:top w:type="dxa" w:w="80"/>
              <w:left w:type="dxa" w:w="110"/>
              <w:bottom w:type="dxa" w:w="80"/>
              <w:right w:type="dxa" w:w="110"/>
            </w:tcMar>
          </w:tcPr>
          <w:p>
            <w:pPr>
              <w:spacing w:after="40" w:line="260"/>
            </w:pPr>
            <w:r>
              <w:rPr>
                <w:b/>
                <w:bCs/>
                <w:color w:val="1F3864"/>
                <w:sz w:val="20"/>
                <w:szCs w:val="20"/>
              </w:rPr>
              <w:t xml:space="preserve">Situación en el sistema</w:t>
            </w:r>
          </w:p>
        </w:tc>
        <w:tc>
          <w:tcPr>
            <w:tcW w:type="dxa" w:w="3326"/>
            <w:shd w:fill="D6E4EC" w:val="clear"/>
            <w:tcMar>
              <w:top w:type="dxa" w:w="80"/>
              <w:left w:type="dxa" w:w="110"/>
              <w:bottom w:type="dxa" w:w="80"/>
              <w:right w:type="dxa" w:w="110"/>
            </w:tcMar>
          </w:tcPr>
          <w:p>
            <w:pPr>
              <w:spacing w:after="40" w:line="260"/>
            </w:pPr>
            <w:r>
              <w:rPr>
                <w:b/>
                <w:bCs/>
                <w:color w:val="1F3864"/>
                <w:sz w:val="20"/>
                <w:szCs w:val="20"/>
              </w:rPr>
              <w:t xml:space="preserve">Qué ocurre en su lugar</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Tarjeta de crédito o débito</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implementado. No existe formulario, campo ni almacenamiento de datos de tarjeta en ninguna pantalla ni en el modelo de datos.</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El cobro se acuerda en la conversación de WhatsApp y se concreta en el local.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Pasarela de pagos (Pagopar, Bancard y equivalentes)</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integrada. El sistema no realiza llamada alguna a servicios de cobro ni recibe notificaciones de acreditación.</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El estado del pedido lo actualiza el operador desde el panel, según lo que constate por fuera.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Billetera electrónica con código QR</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implementado. El sistema no genera ni interpreta códigos QR de cobro.</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Si el cliente paga por billetera, lo coordina por la conversación; el sistema no se entera.</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Transferencia bancaria automatizada</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implementada. No hay conciliación automática ni verificación de acreditación.</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El operador confirma la transferencia por su cuenta y mueve el estado del pedido a mano.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Financiación en cuotas</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implementada. El sistema no calcula intereses, planes ni vencimientos.</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Cualquier acuerdo de cuotas es ajeno al software y no queda registrado en él.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Emisión de comprobante tributario</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implementada. El pedido registrado no es una factura ni sustituye a ninguna.</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La documentación legal se emite por los medios habituales del comercio.</w:t>
            </w:r>
          </w:p>
        </w:tc>
      </w:tr>
    </w:tbl>
    <w:p>
      <w:pPr>
        <w:spacing w:after="160" w:before="160"/>
      </w:pPr>
      <w:r>
        <w:t xml:space="preserve">En consecuencia, el importe que el sistema calcula y transmite tiene valor informativo y de acuerdo comercial, no de cobro. El registro de un pedido no acredita pago alguno, y el estado «Confirmado» significa que el operador dio por firme la venta, no que el dinero haya ingresado.</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pBdr>
          <w:bottom w:val="single" w:color="0B6E97" w:sz="12" w:space="6"/>
        </w:pBdr>
        <w:spacing w:after="200" w:before="40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6E4EC"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6E4EC"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6E4EC"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Cada requisito se presenta en una ficha con su sintaxis formal, sus condiciones de entrada y de salida y la referencia a las figuras donde aparece representado. Los requisitos cuyo comportamiento no se agota en el enunciado llevan además su propia lámina de vistas: quién ejecuta la función, cómo responde el sistema paso a paso y, cuando aporta algo que el texto no dice, de qué componentes se sirve. No todas las funciones necesitan las tres vistas; la autenticación, por ejemplo, no se explica mejor enumerando sus componentes.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«Iniciar sesión en el panel». Figura 25, componente «Guardia de sesión y rol». Figura 1, bloque «Control de acceso por rol». Ficha completa de la función: Figura 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00" w:before="200"/>
        <w:jc w:val="center"/>
      </w:pPr>
      <w:r>
        <w:drawing>
          <wp:inline distT="0" distB="0" distL="0" distR="0">
            <wp:extent cx="6096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676525"/>
                    </a:xfrm>
                    <a:prstGeom prst="rect">
                      <a:avLst/>
                    </a:prstGeom>
                  </pic:spPr>
                </pic:pic>
              </a:graphicData>
            </a:graphic>
          </wp:inline>
        </w:drawing>
      </w:r>
    </w:p>
    <w:p>
      <w:pPr>
        <w:spacing w:after="240"/>
        <w:jc w:val="center"/>
      </w:pPr>
      <w:r>
        <w:rPr>
          <w:i/>
          <w:iCs/>
          <w:color w:val="5B6875"/>
          <w:sz w:val="18"/>
          <w:szCs w:val="18"/>
        </w:rPr>
        <w:t xml:space="preserve">Figura 3 — RF01. Vistas de la función: quién la usa, cómo responde el sistema.</w:t>
      </w:r>
    </w:p>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«Consultar y filtrar el catálogo». Figura 2, primer bloque del recorrido. Figura 1, bloque «Catálogo». Ficha completa de la función: Figura 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4 — RF02. Vistas de la función: quién la usa, cómo responde el sistema y de qué componentes se sirve.</w:t>
      </w:r>
    </w:p>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«Buscar sin acentos ni mayúsculas». Figura 1, bloque «Catálogo · filtros y búsqueda». Ficha completa de la función: Figura 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5 — RF03. Vistas de la función: quién la usa, cómo responde el sistema.</w:t>
      </w:r>
    </w:p>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«Elegir variante de un producto». Figura 2, decisión «¿La pieza tiene variantes?». Ficha completa de la función: Figura 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6 — RF04. Vistas de la función: quién la usa, cómo responde el sistema.</w:t>
      </w:r>
    </w:p>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«Comprar una pieza directo». Figura 2, salida «FORMATO 1». Ficha completa de la función: Figura 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7 — RF05. Vistas de la función: quién la usa, cómo responde el sistema y de qué componentes se sirve.</w:t>
      </w:r>
    </w:p>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«Gestionar el carrito». Figura 2, bloque «Agrega al carrito». Figura 26, pasos 3 y 4. Ficha completa de la función: Figura 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8 — RF06. Vistas de la función: quién la usa, cómo responde el sistema.</w:t>
      </w:r>
    </w:p>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«Verificar compatibilidad». Figura 1, bloque «Configurador». Ficha completa de la función: Figura 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00" w:before="200"/>
        <w:jc w:val="center"/>
      </w:pPr>
      <w:r>
        <w:drawing>
          <wp:inline distT="0" distB="0" distL="0" distR="0">
            <wp:extent cx="609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266950"/>
                    </a:xfrm>
                    <a:prstGeom prst="rect">
                      <a:avLst/>
                    </a:prstGeom>
                  </pic:spPr>
                </pic:pic>
              </a:graphicData>
            </a:graphic>
          </wp:inline>
        </w:drawing>
      </w:r>
    </w:p>
    <w:p>
      <w:pPr>
        <w:spacing w:after="240"/>
        <w:jc w:val="center"/>
      </w:pPr>
      <w:r>
        <w:rPr>
          <w:i/>
          <w:iCs/>
          <w:color w:val="5B6875"/>
          <w:sz w:val="18"/>
          <w:szCs w:val="18"/>
        </w:rPr>
        <w:t xml:space="preserve">Figura 9 — RF07. Vistas de la función: quién la usa, cómo responde el sistema.</w:t>
      </w:r>
    </w:p>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 precio en tres monedas». Figura 26, paso 2. Figura 25, componente «Conversión de moneda». Ficha completa de la función: Figura 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10 — RF08. Vistas de la función: quién la usa, cómo responde el sistema y de qué componentes se sirve.</w:t>
      </w:r>
    </w:p>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«Aplicar cupón de descuento». Figura 2, decisión «¿Aplica cupón?». Figura 26, fragmento «opcional». Ficha completa de la función: Figura 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11 — RF09. Vistas de la función: quién la usa, cómo responde el sistema.</w:t>
      </w:r>
    </w:p>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«Registrar el pedido». Figura 2, bloque «place_order». Figura 26, paso 8 y fragmento «alt». Ficha completa de la función: Figura 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00" w:before="200"/>
        <w:jc w:val="center"/>
      </w:pPr>
      <w:r>
        <w:drawing>
          <wp:inline distT="0" distB="0" distL="0" distR="0">
            <wp:extent cx="6096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076575"/>
                    </a:xfrm>
                    <a:prstGeom prst="rect">
                      <a:avLst/>
                    </a:prstGeom>
                  </pic:spPr>
                </pic:pic>
              </a:graphicData>
            </a:graphic>
          </wp:inline>
        </w:drawing>
      </w:r>
    </w:p>
    <w:p>
      <w:pPr>
        <w:spacing w:after="240"/>
        <w:jc w:val="center"/>
      </w:pPr>
      <w:r>
        <w:rPr>
          <w:i/>
          <w:iCs/>
          <w:color w:val="5B6875"/>
          <w:sz w:val="18"/>
          <w:szCs w:val="18"/>
        </w:rPr>
        <w:t xml:space="preserve">Figura 12 — RF10. Vistas de la función: quién la usa, cómo responde el sistema y de qué componentes se sirve.</w:t>
      </w:r>
    </w:p>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«Generar mensaje del pedido», enlazado por «include» desde el registro. Figura 2, salida «FORMATO 2». Figura 26, pasos 11 a 14. Ficha completa de la función: Figura 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13 — RF11. Vistas de la función: quién la usa, cómo responde el sistema y de qué componentes se sirve.</w:t>
      </w:r>
    </w:p>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productos y variantes». Figura 1, bloque «Inventario». Ficha completa de la función: Figura 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14 — RF12. Vistas de la función: quién la usa, cómo responde el sistema y de qué componentes se sirve.</w:t>
      </w:r>
    </w:p>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«Controlar existencias». Figura 1, bloque «Inventario». Figura 26, autollamada de descuento de unidades. Ficha completa de la función: Figura 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00" w:before="200"/>
        <w:jc w:val="center"/>
      </w:pPr>
      <w:r>
        <w:drawing>
          <wp:inline distT="0" distB="0" distL="0" distR="0">
            <wp:extent cx="6096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085975"/>
                    </a:xfrm>
                    <a:prstGeom prst="rect">
                      <a:avLst/>
                    </a:prstGeom>
                  </pic:spPr>
                </pic:pic>
              </a:graphicData>
            </a:graphic>
          </wp:inline>
        </w:drawing>
      </w:r>
    </w:p>
    <w:p>
      <w:pPr>
        <w:spacing w:after="240"/>
        <w:jc w:val="center"/>
      </w:pPr>
      <w:r>
        <w:rPr>
          <w:i/>
          <w:iCs/>
          <w:color w:val="5B6875"/>
          <w:sz w:val="18"/>
          <w:szCs w:val="18"/>
        </w:rPr>
        <w:t xml:space="preserve">Figura 15 — RF13. Vistas de la función: quién la usa, cómo responde el sistema.</w:t>
      </w:r>
    </w:p>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«Configurar precios y tasa». Figura 1, bloque «Precios». Ficha completa de la función: Figura 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00" w:before="200"/>
        <w:jc w:val="center"/>
      </w:pPr>
      <w:r>
        <w:drawing>
          <wp:inline distT="0" distB="0" distL="0" distR="0">
            <wp:extent cx="6096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886075"/>
                    </a:xfrm>
                    <a:prstGeom prst="rect">
                      <a:avLst/>
                    </a:prstGeom>
                  </pic:spPr>
                </pic:pic>
              </a:graphicData>
            </a:graphic>
          </wp:inline>
        </w:drawing>
      </w:r>
    </w:p>
    <w:p>
      <w:pPr>
        <w:spacing w:after="240"/>
        <w:jc w:val="center"/>
      </w:pPr>
      <w:r>
        <w:rPr>
          <w:i/>
          <w:iCs/>
          <w:color w:val="5B6875"/>
          <w:sz w:val="18"/>
          <w:szCs w:val="18"/>
        </w:rPr>
        <w:t xml:space="preserve">Figura 16 — RF14. Vistas de la función: quién la usa, cómo responde el sistema y de qué componentes se sirve.</w:t>
      </w:r>
    </w:p>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cupones». Figura 1, bloque «Cupones». Ficha completa de la función: Figura 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17 — RF15. Vistas de la función: quién la usa, cómo responde el sistema.</w:t>
      </w:r>
    </w:p>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«Seguir los pedidos». Figura 1, bloque «Pedidos». Ficha completa de la función: Figura 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00" w:before="200"/>
        <w:jc w:val="center"/>
      </w:pPr>
      <w:r>
        <w:drawing>
          <wp:inline distT="0" distB="0" distL="0" distR="0">
            <wp:extent cx="6096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457450"/>
                    </a:xfrm>
                    <a:prstGeom prst="rect">
                      <a:avLst/>
                    </a:prstGeom>
                  </pic:spPr>
                </pic:pic>
              </a:graphicData>
            </a:graphic>
          </wp:inline>
        </w:drawing>
      </w:r>
    </w:p>
    <w:p>
      <w:pPr>
        <w:spacing w:after="240"/>
        <w:jc w:val="center"/>
      </w:pPr>
      <w:r>
        <w:rPr>
          <w:i/>
          <w:iCs/>
          <w:color w:val="5B6875"/>
          <w:sz w:val="18"/>
          <w:szCs w:val="18"/>
        </w:rPr>
        <w:t xml:space="preserve">Figura 18 — RF16. Vistas de la función: quién la usa, cómo responde el sistema.</w:t>
      </w:r>
    </w:p>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«Crear cuentas del panel», alcanzable solo desde el actor Moderador. Figura 25, componente «Gestión de cuentas». Ficha completa de la función: Figura 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19 — RF17. Vistas de la función: quién la usa, cómo responde el sistema y de qué componentes se sirve.</w:t>
      </w:r>
    </w:p>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«Retirar y devolver acceso». Figura 25, componentes «Gestión de cuentas» y «Políticas de seguridad por fila». Ficha completa de la función: Figura 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20 — RF18. Vistas de la función: quién la usa, cómo responde el sistema y de qué componentes se sirve.</w:t>
      </w:r>
    </w:p>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«Cambiar la contraseña propia», alcanzable por ambos perfiles. Figura 25, componente «Autenticación». Ficha completa de la función: Figura 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00" w:before="20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495550"/>
                    </a:xfrm>
                    <a:prstGeom prst="rect">
                      <a:avLst/>
                    </a:prstGeom>
                  </pic:spPr>
                </pic:pic>
              </a:graphicData>
            </a:graphic>
          </wp:inline>
        </w:drawing>
      </w:r>
    </w:p>
    <w:p>
      <w:pPr>
        <w:spacing w:after="240"/>
        <w:jc w:val="center"/>
      </w:pPr>
      <w:r>
        <w:rPr>
          <w:i/>
          <w:iCs/>
          <w:color w:val="5B6875"/>
          <w:sz w:val="18"/>
          <w:szCs w:val="18"/>
        </w:rPr>
        <w:t xml:space="preserve">Figura 21 — RF19. Vistas de la función: quién la usa, cómo responde el sistema.</w:t>
      </w:r>
    </w:p>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«Dar de baja pedidos». Figura 25, componente «Funciones transaccionales». Ficha completa de la función: Figura 22.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00" w:before="200"/>
        <w:jc w:val="center"/>
      </w:pPr>
      <w:r>
        <w:drawing>
          <wp:inline distT="0" distB="0" distL="0" distR="0">
            <wp:extent cx="6096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875"/>
          <w:sz w:val="18"/>
          <w:szCs w:val="18"/>
        </w:rPr>
        <w:t xml:space="preserve">Figura 22 — RF20. Vistas de la función: quién la usa, cómo responde el sistema y de qué componentes se sirve.</w:t>
      </w:r>
    </w:p>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«Restablecer clave ajena». Figura 25, componentes «Gestión de cuentas» y «Autenticación». Ficha completa de la función: Figura 23.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23 — RF21. Vistas de la función: quién la usa, cómo responde el sistema y de qué componentes se sirve.</w:t>
      </w:r>
    </w:p>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6E4EC"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6E4EC"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6E4EC"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637,2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6E4EC"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6E4EC"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6E4EC"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6E4EC"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6E4EC"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24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25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26 — Diagrama de comportamiento. Secuencia de acciones del cierre de venta, con sus fragmentos opcional y alternativo.</w:t>
      </w:r>
    </w:p>
    <w:p>
      <w:r>
        <w:br w:type="page"/>
      </w:r>
    </w:p>
    <w:p>
      <w:pPr>
        <w:spacing w:after="120" w:line="276"/>
      </w:pPr>
      <w:r>
        <w:t xml:space="preserve">El cuarto traslada el modelo de datos del Apéndice A a notación de clases, que es la forma en que se lleva un esquema relacional a UML: cada entidad persistente con sus atributos y, sobre todo, las relaciones entre ellas. Dos detalles del negocio quedan a la vista en la propia notación. Las líneas de un pedido cuelgan de él por composición, de modo que al darlo de baja se van con él; en cambio la referencia de una línea al producto es débil y admite quedar en nulo, porque el registro de lo vendido tiene que sobrevivir a la eliminación de la pieza del catálogo. Y el cupón se vincula al pedido por su código y no por clave foránea, para que el pedido conserve el código aplicado aunque el cupón se elimine después.</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27 — Diagrama de clases. Entidades persistentes, atributos con significado comercial y relaciones. La relación completa de columnas está en el Apéndice A.</w:t>
      </w:r>
    </w:p>
    <w:p>
      <w:r>
        <w:br w:type="page"/>
      </w:r>
    </w:p>
    <w:p>
      <w:pPr>
        <w:pStyle w:val="Heading1"/>
        <w:pBdr>
          <w:bottom w:val="single" w:color="0B6E97" w:sz="12" w:space="6"/>
        </w:pBdr>
        <w:spacing w:after="200" w:before="40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 Su representación gráfica, con las relaciones y multiplicidades, es la Figura 27 del apartado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6E4EC"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6E4EC"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6E4EC"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6E4EC"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6E4EC"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6E4EC"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6E4EC"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5b1ec12b6c3af7419caf4d435c189a00c62768.png"/><Relationship Id="rId10" Type="http://schemas.openxmlformats.org/officeDocument/2006/relationships/image" Target="media/61be1509be89c23b335acc3e9afbca6bb57ae5c5.png"/><Relationship Id="rId11" Type="http://schemas.openxmlformats.org/officeDocument/2006/relationships/image" Target="media/0dd3695510f57be1cb4b3d2be2447e9225bfeb6c.png"/><Relationship Id="rId12" Type="http://schemas.openxmlformats.org/officeDocument/2006/relationships/image" Target="media/3528cfbe9a998c853d4c97a4b73ac035b24a7bdf.png"/><Relationship Id="rId13" Type="http://schemas.openxmlformats.org/officeDocument/2006/relationships/image" Target="media/fe3182563e9fdd4037ced53dd43ed7e933cda795.png"/><Relationship Id="rId14" Type="http://schemas.openxmlformats.org/officeDocument/2006/relationships/image" Target="media/1e550a998596e7075019331e4e2b6d9810ed272c.png"/><Relationship Id="rId15" Type="http://schemas.openxmlformats.org/officeDocument/2006/relationships/image" Target="media/bf56207a20cc1727e68cd50c3d2ec7041593052e.png"/><Relationship Id="rId16" Type="http://schemas.openxmlformats.org/officeDocument/2006/relationships/image" Target="media/9a75d162d1e315bb77e05bf296f653d814e0dc25.png"/><Relationship Id="rId17" Type="http://schemas.openxmlformats.org/officeDocument/2006/relationships/image" Target="media/c4c61a9508f4fc30eab660075410882517cb9b04.png"/><Relationship Id="rId18" Type="http://schemas.openxmlformats.org/officeDocument/2006/relationships/image" Target="media/45460ac7e337bf6bf6790ab35acb2167c9d578b5.png"/><Relationship Id="rId19" Type="http://schemas.openxmlformats.org/officeDocument/2006/relationships/image" Target="media/0b92ee96bbd248a52471738a35ae15e432f4e008.png"/><Relationship Id="rId20" Type="http://schemas.openxmlformats.org/officeDocument/2006/relationships/image" Target="media/193c4bb044f3a069f27fa3b8790a00869163175e.png"/><Relationship Id="rId21" Type="http://schemas.openxmlformats.org/officeDocument/2006/relationships/image" Target="media/3b96ae019df628e88917f8210116a7abe687cf4b.png"/><Relationship Id="rId22" Type="http://schemas.openxmlformats.org/officeDocument/2006/relationships/image" Target="media/d1e876948016c1a4b75d8f78a2e11e7440e53f04.png"/><Relationship Id="rId23" Type="http://schemas.openxmlformats.org/officeDocument/2006/relationships/image" Target="media/b4e34e77e6e2205e802ee5e7c183a11eb7bd20a6.png"/><Relationship Id="rId24" Type="http://schemas.openxmlformats.org/officeDocument/2006/relationships/image" Target="media/6ad0f9abcd8f7ced67ac91acfde5d8dcdbc8242a.png"/><Relationship Id="rId25" Type="http://schemas.openxmlformats.org/officeDocument/2006/relationships/image" Target="media/d763b27995cb5ef1252270825fc50f511523dc09.png"/><Relationship Id="rId26" Type="http://schemas.openxmlformats.org/officeDocument/2006/relationships/image" Target="media/eb3c842e8807dc8db285c3ff28c95956248e7018.png"/><Relationship Id="rId27" Type="http://schemas.openxmlformats.org/officeDocument/2006/relationships/image" Target="media/ed6dd3cf7ead6af477ef74bdd14e09d41e8d6143.png"/><Relationship Id="rId28" Type="http://schemas.openxmlformats.org/officeDocument/2006/relationships/image" Target="media/a5e14d29d5830c5e2f896025c568884b082aab0d.png"/><Relationship Id="rId29" Type="http://schemas.openxmlformats.org/officeDocument/2006/relationships/image" Target="media/7c6dcb8acf64e5c06ec10a0f0e3d1a390477f363.png"/><Relationship Id="rId30" Type="http://schemas.openxmlformats.org/officeDocument/2006/relationships/image" Target="media/66c5d53a4cf68477176919b5e6ef8d77d1aa9249.png"/><Relationship Id="rId31" Type="http://schemas.openxmlformats.org/officeDocument/2006/relationships/image" Target="media/7c651cf43a9650d54589bd3ffb3a8e9e55a1c58e.png"/><Relationship Id="rId32" Type="http://schemas.openxmlformats.org/officeDocument/2006/relationships/image" Target="media/3d7a11c33012cdea6d126b6601614acd04a4f08e.png"/><Relationship Id="rId33" Type="http://schemas.openxmlformats.org/officeDocument/2006/relationships/image" Target="media/942bba7f8aeb48b3ca89a128232220e0420a2612.png"/><Relationship Id="rId34" Type="http://schemas.openxmlformats.org/officeDocument/2006/relationships/image" Target="media/37759f7d29259092d9d76de3b43ccc379ac9fd11.png"/><Relationship Id="rId35" Type="http://schemas.openxmlformats.org/officeDocument/2006/relationships/image" Target="media/6dfe9c36a1dbe829ea2dbd6b38893ea39b80d5c7.png"/><Relationship Id="rId36" Type="http://schemas.openxmlformats.org/officeDocument/2006/relationships/image" Target="media/aad533a6bff3ae92fbc1e5c7513c9b666a8f3864.png"/><Relationship Id="rId37" Type="http://schemas.openxmlformats.org/officeDocument/2006/relationships/image" Target="media/780c7456b655e8c6f48034f360ba858726e5038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2026-09-09T17:41:46.656Z</dcterms:created>
  <dcterms:modified xsi:type="dcterms:W3CDTF">2026-09-09T17:41:46.656Z</dcterms:modified>
</cp:coreProperties>
</file>

<file path=docProps/custom.xml><?xml version="1.0" encoding="utf-8"?>
<Properties xmlns="http://schemas.openxmlformats.org/officeDocument/2006/custom-properties" xmlns:vt="http://schemas.openxmlformats.org/officeDocument/2006/docPropsVTypes"/>
</file>