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both"/>
      </w:pPr>
      <w:r>
        <w:rPr>
          <w:b/>
          <w:sz w:val="22"/>
          <w:szCs w:val="22"/>
        </w:rPr>
        <w:t xml:space="preserve">Meno pacienta: </w:t>
      </w:r>
      <w:r>
        <w:rPr>
          <w:sz w:val="22"/>
          <w:szCs w:val="22"/>
        </w:rPr>
        <w:t xml:space="preserve">_______________________________   </w:t>
      </w:r>
      <w:r>
        <w:rPr>
          <w:b/>
          <w:sz w:val="22"/>
          <w:szCs w:val="22"/>
        </w:rPr>
        <w:t xml:space="preserve">Rodné číslo: </w:t>
      </w:r>
      <w:r>
        <w:rPr>
          <w:sz w:val="22"/>
          <w:szCs w:val="22"/>
        </w:rPr>
        <w:t xml:space="preserve">______________________</w:t>
      </w:r>
    </w:p>
    <w:p>
      <w:pPr>
        <w:pStyle w:val="Normal"/>
        <w:spacing w:before="0" w:after="160"/>
        <w:jc w:val="both"/>
      </w:pPr>
      <w:r>
        <w:rPr>
          <w:b/>
          <w:sz w:val="22"/>
          <w:szCs w:val="22"/>
        </w:rPr>
        <w:t xml:space="preserve">Ošetrujúci lekár: </w:t>
      </w:r>
      <w:r>
        <w:rPr>
          <w:sz w:val="22"/>
          <w:szCs w:val="22"/>
        </w:rPr>
        <w:t xml:space="preserve">____________________________   </w:t>
      </w:r>
      <w:r>
        <w:rPr>
          <w:b/>
          <w:sz w:val="22"/>
          <w:szCs w:val="22"/>
        </w:rPr>
        <w:t xml:space="preserve">Dátum: </w:t>
      </w:r>
      <w:r>
        <w:rPr>
          <w:sz w:val="22"/>
          <w:szCs w:val="22"/>
        </w:rPr>
        <w:t xml:space="preserve">______________________________</w:t>
      </w:r>
    </w:p>
    <w:p>
      <w:pPr>
        <w:pStyle w:val="Heading2"/>
        <w:numPr>
          <w:ilvl w:val="0"/>
          <w:numId w:val="3"/>
        </w:numPr>
        <w:spacing w:before="180" w:after="60"/>
      </w:pPr>
      <w:r>
        <w:rPr>
          <w:b/>
          <w:sz w:val="24"/>
        </w:rPr>
        <w:t xml:space="preserve">Diagnóza a dôvod výkonu</w:t>
      </w:r>
    </w:p>
    <w:p>
      <w:pPr>
        <w:pStyle w:val="Normal"/>
        <w:spacing w:before="0" w:after="120"/>
        <w:jc w:val="both"/>
        <w:rPr>
          <w:sz w:val="22"/>
          <w:szCs w:val="22"/>
        </w:rPr>
      </w:pPr>
      <w:r>
        <w:rPr>
          <w:sz w:val="22"/>
          <w:szCs w:val="22"/>
        </w:rPr>
        <w:t xml:space="preserve">U Vás bola diagnostikovaná aterosklerotická choroba periférnych tepien (zúženie alebo uzáver tepien dolných alebo horných končatín, prípadne viscerálnych tepien). Toto zúženie spôsobuje nedostatočné zásobenie tkanív kyslíkom, čo sa prejavuje klaudikáciami (bolesťou pri chôdzi), kľudovými bolesťami alebo trofickými zmenami. Balónková angioplastika je navrhovaná na obnovenie prietoku zasiahnutou tepnou.</w:t>
      </w:r>
    </w:p>
    <w:p>
      <w:pPr>
        <w:pStyle w:val="Heading2"/>
        <w:numPr>
          <w:ilvl w:val="0"/>
          <w:numId w:val="3"/>
        </w:numPr>
        <w:spacing w:before="180" w:after="60"/>
      </w:pPr>
      <w:r>
        <w:rPr>
          <w:b/>
          <w:sz w:val="24"/>
        </w:rPr>
        <w:t xml:space="preserve">Popis výkonu</w:t>
      </w:r>
    </w:p>
    <w:p>
      <w:pPr>
        <w:pStyle w:val="Normal"/>
        <w:spacing w:before="0" w:after="120"/>
        <w:jc w:val="both"/>
        <w:rPr>
          <w:sz w:val="22"/>
          <w:szCs w:val="22"/>
        </w:rPr>
      </w:pPr>
      <w:r>
        <w:rPr>
          <w:sz w:val="22"/>
          <w:szCs w:val="22"/>
        </w:rPr>
        <w:t xml:space="preserve">Výkon sa vykonáva v lokálnej anestézii na angiografickom pracovisku. Cez vpich do tepny (femorálna, brachiálna alebo radiálna tepna) sa pod röntgenovou kontrolou zavedie vodiaci drôt cez miesto zúženia. Po ňom sa posunie špeciálny katéter s balónkom, ktorý sa nafúkne na presne definovaný tlak v mieste zúženia a mechanicky ho rozšíri. Podľa výsledku môže nasledovať zavedenie stentu. Výkon trvá 30–90 minút.</w:t>
      </w:r>
    </w:p>
    <w:p>
      <w:pPr>
        <w:pStyle w:val="Heading2"/>
        <w:numPr>
          <w:ilvl w:val="0"/>
          <w:numId w:val="3"/>
        </w:numPr>
        <w:spacing w:before="180" w:after="60"/>
      </w:pPr>
      <w:r>
        <w:rPr>
          <w:b/>
          <w:sz w:val="24"/>
        </w:rPr>
        <w:t xml:space="preserve">Očakávané prínosy</w:t>
      </w:r>
    </w:p>
    <w:p>
      <w:pPr>
        <w:pStyle w:val="Normal"/>
        <w:numPr>
          <w:ilvl w:val="0"/>
          <w:numId w:val="3"/>
        </w:numPr>
        <w:spacing w:before="0" w:after="60"/>
        <w:ind w:start="360" w:hanging="360"/>
      </w:pPr>
      <w:r>
        <w:rPr>
          <w:sz w:val="22"/>
          <w:szCs w:val="22"/>
        </w:rPr>
        <w:t xml:space="preserve">Obnovenie prietoku krvi a zmiernenie príznakov ischémie končatiny</w:t>
      </w:r>
    </w:p>
    <w:p>
      <w:pPr>
        <w:pStyle w:val="Normal"/>
        <w:numPr>
          <w:ilvl w:val="0"/>
          <w:numId w:val="3"/>
        </w:numPr>
        <w:spacing w:before="0" w:after="60"/>
        <w:ind w:start="360" w:hanging="360"/>
      </w:pPr>
      <w:r>
        <w:rPr>
          <w:sz w:val="22"/>
          <w:szCs w:val="22"/>
        </w:rPr>
        <w:t xml:space="preserve">Zlepšenie klaudikačnej vzdialenosti (schopnosti chôdze)</w:t>
      </w:r>
    </w:p>
    <w:p>
      <w:pPr>
        <w:pStyle w:val="Normal"/>
        <w:numPr>
          <w:ilvl w:val="0"/>
          <w:numId w:val="3"/>
        </w:numPr>
        <w:spacing w:before="0" w:after="60"/>
        <w:ind w:start="360" w:hanging="360"/>
      </w:pPr>
      <w:r>
        <w:rPr>
          <w:sz w:val="22"/>
          <w:szCs w:val="22"/>
        </w:rPr>
        <w:t xml:space="preserve">Prevencia amputácie pri kritickej končatinovej ischémii</w:t>
      </w:r>
    </w:p>
    <w:p>
      <w:pPr>
        <w:pStyle w:val="Normal"/>
        <w:numPr>
          <w:ilvl w:val="0"/>
          <w:numId w:val="3"/>
        </w:numPr>
        <w:spacing w:before="0" w:after="60"/>
        <w:ind w:start="360" w:hanging="360"/>
      </w:pPr>
      <w:r>
        <w:rPr>
          <w:sz w:val="22"/>
          <w:szCs w:val="22"/>
        </w:rPr>
        <w:t xml:space="preserve">Minimálne invazívny výkon s rýchlym zotavením (prepustenie do 24 hodín)</w:t>
      </w:r>
    </w:p>
    <w:p>
      <w:pPr>
        <w:spacing w:after="80"/>
      </w:pPr>
    </w:p>
    <w:p>
      <w:pPr>
        <w:pStyle w:val="Heading2"/>
        <w:numPr>
          <w:ilvl w:val="0"/>
          <w:numId w:val="3"/>
        </w:numPr>
        <w:spacing w:before="180" w:after="60"/>
      </w:pPr>
      <w:r>
        <w:rPr>
          <w:b/>
          <w:sz w:val="24"/>
        </w:rPr>
        <w:t xml:space="preserve">Riziká a možné komplikácie</w:t>
      </w:r>
    </w:p>
    <w:p>
      <w:pPr>
        <w:pStyle w:val="Normal"/>
        <w:spacing w:before="0" w:after="120"/>
        <w:jc w:val="both"/>
        <w:rPr>
          <w:sz w:val="22"/>
          <w:szCs w:val="22"/>
        </w:rPr>
      </w:pPr>
      <w:r>
        <w:rPr>
          <w:sz w:val="22"/>
          <w:szCs w:val="22"/>
        </w:rPr>
        <w:t xml:space="preserve">Ako pri každom invazívnom výkone, aj tento zákrok nesie riziká. Medzi najdôležitejšie patria:</w:t>
      </w:r>
    </w:p>
    <w:p>
      <w:pPr>
        <w:pStyle w:val="Normal"/>
        <w:spacing w:before="0" w:after="60"/>
        <w:jc w:val="left"/>
        <w:rPr>
          <w:sz w:val="22"/>
          <w:szCs w:val="22"/>
          <w:b/>
        </w:rPr>
      </w:pPr>
      <w:r>
        <w:rPr>
          <w:sz w:val="22"/>
          <w:szCs w:val="22"/>
          <w:b/>
        </w:rPr>
        <w:t xml:space="preserve">Časté komplikácie:</w:t>
      </w:r>
    </w:p>
    <w:p>
      <w:pPr>
        <w:pStyle w:val="Normal"/>
        <w:numPr>
          <w:ilvl w:val="0"/>
          <w:numId w:val="3"/>
        </w:numPr>
        <w:spacing w:before="0" w:after="60"/>
        <w:ind w:start="360" w:hanging="360"/>
      </w:pPr>
      <w:r>
        <w:rPr>
          <w:sz w:val="22"/>
          <w:szCs w:val="22"/>
        </w:rPr>
        <w:t xml:space="preserve">Hematóm alebo krvácanie v mieste vpichu (cca 3–7 %)</w:t>
      </w:r>
    </w:p>
    <w:p>
      <w:pPr>
        <w:pStyle w:val="Normal"/>
        <w:numPr>
          <w:ilvl w:val="0"/>
          <w:numId w:val="3"/>
        </w:numPr>
        <w:spacing w:before="0" w:after="60"/>
        <w:ind w:start="360" w:hanging="360"/>
      </w:pPr>
      <w:r>
        <w:rPr>
          <w:sz w:val="22"/>
          <w:szCs w:val="22"/>
        </w:rPr>
        <w:t xml:space="preserve">Bolesť alebo pálenie v mieste zúženia počas nafukovania balónka</w:t>
      </w:r>
    </w:p>
    <w:p>
      <w:pPr>
        <w:pStyle w:val="Normal"/>
        <w:numPr>
          <w:ilvl w:val="0"/>
          <w:numId w:val="3"/>
        </w:numPr>
        <w:spacing w:before="0" w:after="60"/>
        <w:ind w:start="360" w:hanging="360"/>
      </w:pPr>
      <w:r>
        <w:rPr>
          <w:sz w:val="22"/>
          <w:szCs w:val="22"/>
        </w:rPr>
        <w:t xml:space="preserve">Dočasný pokles prietoku počas výkonu so spazmom tepny</w:t>
      </w:r>
    </w:p>
    <w:p>
      <w:pPr>
        <w:pStyle w:val="Normal"/>
        <w:spacing w:before="100" w:after="60"/>
        <w:jc w:val="left"/>
        <w:rPr>
          <w:sz w:val="22"/>
          <w:szCs w:val="22"/>
          <w:b/>
        </w:rPr>
      </w:pPr>
      <w:r>
        <w:rPr>
          <w:sz w:val="22"/>
          <w:szCs w:val="22"/>
          <w:b/>
        </w:rPr>
        <w:t xml:space="preserve">Menej časté, ale závažné komplikácie:</w:t>
      </w:r>
    </w:p>
    <w:p>
      <w:pPr>
        <w:pStyle w:val="Normal"/>
        <w:numPr>
          <w:ilvl w:val="0"/>
          <w:numId w:val="3"/>
        </w:numPr>
        <w:spacing w:before="0" w:after="60"/>
        <w:ind w:start="360" w:hanging="360"/>
      </w:pPr>
      <w:r>
        <w:rPr>
          <w:sz w:val="22"/>
          <w:szCs w:val="22"/>
        </w:rPr>
        <w:t xml:space="preserve">Disekcia tepny – roztrhnutie steny tepny balónkom vyžadujúce zavedenie stentu (cca 3–5 %)</w:t>
      </w:r>
    </w:p>
    <w:p>
      <w:pPr>
        <w:pStyle w:val="Normal"/>
        <w:numPr>
          <w:ilvl w:val="0"/>
          <w:numId w:val="3"/>
        </w:numPr>
        <w:spacing w:before="0" w:after="60"/>
        <w:ind w:start="360" w:hanging="360"/>
      </w:pPr>
      <w:r>
        <w:rPr>
          <w:sz w:val="22"/>
          <w:szCs w:val="22"/>
        </w:rPr>
        <w:t xml:space="preserve">Trombóza alebo embolizácia – uzáver tepny drobným fragmentom trombu alebo plátu (cca 1–3 %)</w:t>
      </w:r>
    </w:p>
    <w:p>
      <w:pPr>
        <w:pStyle w:val="Normal"/>
        <w:numPr>
          <w:ilvl w:val="0"/>
          <w:numId w:val="3"/>
        </w:numPr>
        <w:spacing w:before="0" w:after="60"/>
        <w:ind w:start="360" w:hanging="360"/>
      </w:pPr>
      <w:r>
        <w:rPr>
          <w:sz w:val="22"/>
          <w:szCs w:val="22"/>
        </w:rPr>
        <w:t xml:space="preserve">Závažné krvácanie vyžadujúce chirurgickú revíziu (cca 0,5–1 %)</w:t>
      </w:r>
    </w:p>
    <w:p>
      <w:pPr>
        <w:pStyle w:val="Normal"/>
        <w:numPr>
          <w:ilvl w:val="0"/>
          <w:numId w:val="3"/>
        </w:numPr>
        <w:spacing w:before="0" w:after="60"/>
        <w:ind w:start="360" w:hanging="360"/>
      </w:pPr>
      <w:r>
        <w:rPr>
          <w:sz w:val="22"/>
          <w:szCs w:val="22"/>
        </w:rPr>
        <w:t xml:space="preserve">Poškodenie obličiek kontrastnou látkou (cca 2–5 % pri oslabených obličkách)</w:t>
      </w:r>
    </w:p>
    <w:p>
      <w:pPr>
        <w:pStyle w:val="Normal"/>
        <w:numPr>
          <w:ilvl w:val="0"/>
          <w:numId w:val="3"/>
        </w:numPr>
        <w:spacing w:before="0" w:after="60"/>
        <w:ind w:start="360" w:hanging="360"/>
      </w:pPr>
      <w:r>
        <w:rPr>
          <w:sz w:val="22"/>
          <w:szCs w:val="22"/>
        </w:rPr>
        <w:t xml:space="preserve">Alergická reakcia na kontrastnú látku</w:t>
      </w:r>
    </w:p>
    <w:p>
      <w:pPr>
        <w:pStyle w:val="Normal"/>
        <w:numPr>
          <w:ilvl w:val="0"/>
          <w:numId w:val="3"/>
        </w:numPr>
        <w:spacing w:before="0" w:after="60"/>
        <w:ind w:start="360" w:hanging="360"/>
      </w:pPr>
      <w:r>
        <w:rPr>
          <w:sz w:val="22"/>
          <w:szCs w:val="22"/>
        </w:rPr>
        <w:t xml:space="preserve">Smrť – veľmi vzácne (&lt; 0,5 %)</w:t>
      </w:r>
    </w:p>
    <w:p>
      <w:pPr>
        <w:pStyle w:val="Normal"/>
        <w:spacing w:before="100" w:after="60"/>
        <w:jc w:val="left"/>
        <w:rPr>
          <w:sz w:val="22"/>
          <w:szCs w:val="22"/>
          <w:b/>
        </w:rPr>
      </w:pPr>
      <w:r>
        <w:rPr>
          <w:sz w:val="22"/>
          <w:szCs w:val="22"/>
          <w:b/>
        </w:rPr>
        <w:t xml:space="preserve">Komplikácie špecifické pre tento výkon:</w:t>
      </w:r>
    </w:p>
    <w:p>
      <w:pPr>
        <w:pStyle w:val="Normal"/>
        <w:numPr>
          <w:ilvl w:val="0"/>
          <w:numId w:val="3"/>
        </w:numPr>
        <w:spacing w:before="0" w:after="60"/>
        <w:ind w:start="360" w:hanging="360"/>
      </w:pPr>
      <w:r>
        <w:rPr>
          <w:sz w:val="22"/>
          <w:szCs w:val="22"/>
        </w:rPr>
        <w:t xml:space="preserve">Restenóza – opätovné zúženie tepny do 6–12 mesiacov (cca 20–40 % pri dlhých lézach femorálnej tepny)</w:t>
      </w:r>
    </w:p>
    <w:p>
      <w:pPr>
        <w:pStyle w:val="Normal"/>
        <w:numPr>
          <w:ilvl w:val="0"/>
          <w:numId w:val="3"/>
        </w:numPr>
        <w:spacing w:before="0" w:after="60"/>
        <w:ind w:start="360" w:hanging="360"/>
      </w:pPr>
      <w:r>
        <w:rPr>
          <w:sz w:val="22"/>
          <w:szCs w:val="22"/>
        </w:rPr>
        <w:t xml:space="preserve">Amputácia pri zlyhaní výkonu u pacienta s kritickou ischémiou (vzácne)</w:t>
      </w:r>
    </w:p>
    <w:p>
      <w:pPr>
        <w:pStyle w:val="Normal"/>
        <w:numPr>
          <w:ilvl w:val="0"/>
          <w:numId w:val="3"/>
        </w:numPr>
        <w:spacing w:before="0" w:after="60"/>
        <w:ind w:start="360" w:hanging="360"/>
      </w:pPr>
      <w:r>
        <w:rPr>
          <w:sz w:val="22"/>
          <w:szCs w:val="22"/>
        </w:rPr>
        <w:t xml:space="preserve">Perforácia tepny – vzácna, ale závažná komplikácia s krvácaním do okolitého tkaniva (&lt; 1 %)</w:t>
      </w:r>
    </w:p>
    <w:p>
      <w:pPr>
        <w:spacing w:after="80"/>
      </w:pPr>
    </w:p>
    <w:p>
      <w:pPr>
        <w:pStyle w:val="Heading2"/>
        <w:numPr>
          <w:ilvl w:val="0"/>
          <w:numId w:val="3"/>
        </w:numPr>
        <w:spacing w:before="180" w:after="60"/>
      </w:pPr>
      <w:r>
        <w:rPr>
          <w:b/>
          <w:sz w:val="24"/>
        </w:rPr>
        <w:t xml:space="preserve">Alternatívne možnosti liečby</w:t>
      </w:r>
    </w:p>
    <w:p>
      <w:pPr>
        <w:pStyle w:val="Normal"/>
        <w:spacing w:before="0" w:after="80"/>
        <w:jc w:val="both"/>
      </w:pPr>
      <w:r>
        <w:rPr>
          <w:b/>
          <w:sz w:val="22"/>
          <w:szCs w:val="22"/>
        </w:rPr>
        <w:t xml:space="preserve">Konzervatívna liečba: </w:t>
      </w:r>
      <w:r>
        <w:rPr>
          <w:sz w:val="22"/>
          <w:szCs w:val="22"/>
        </w:rPr>
        <w:t xml:space="preserve">Intenzívna medikamentózna liečba (antiagregácia, statíny, antihypertenzíva, kontrola diabetu) a štruktúrovaný rehabilitačný program chôdze. Táto liečba zlepšuje klaudikačné príznaky, ale neodstraňuje anatomické zúženie.</w:t>
      </w:r>
    </w:p>
    <w:p>
      <w:pPr>
        <w:pStyle w:val="Normal"/>
        <w:spacing w:before="0" w:after="80"/>
        <w:jc w:val="both"/>
      </w:pPr>
      <w:r>
        <w:rPr>
          <w:b/>
          <w:sz w:val="22"/>
          <w:szCs w:val="22"/>
        </w:rPr>
        <w:t xml:space="preserve">Alternatívny výkon: </w:t>
      </w:r>
      <w:r>
        <w:rPr>
          <w:sz w:val="22"/>
          <w:szCs w:val="22"/>
        </w:rPr>
        <w:t xml:space="preserve">Chirurgická rekonštrukcia tepny – bypass (premostenie uzáveru cievnou protézou alebo vlastnou žilou). Je vhodná pri dlhých uzáveroch alebo pri zlyhaní endovaskulárnej liečby, ale predstavuje väčšiu operačnú záťaž.</w:t>
      </w:r>
    </w:p>
    <w:p>
      <w:pPr>
        <w:pStyle w:val="Normal"/>
        <w:spacing w:before="0" w:after="80"/>
        <w:jc w:val="both"/>
      </w:pPr>
      <w:r>
        <w:rPr>
          <w:b/>
          <w:sz w:val="22"/>
          <w:szCs w:val="22"/>
        </w:rPr>
        <w:t xml:space="preserve">Odmietnutie liečby: </w:t>
      </w:r>
      <w:r>
        <w:rPr>
          <w:sz w:val="22"/>
          <w:szCs w:val="22"/>
        </w:rPr>
        <w:t xml:space="preserve">Bez liečby u pacientov s kritickou ischémiou hrozí gangréna a potreba amputácie. U pacientov s klaudikáciami môže choroba progredovať do kritickej ischémie.</w:t>
      </w:r>
    </w:p>
    <w:p>
      <w:pPr>
        <w:pStyle w:val="Heading2"/>
        <w:numPr>
          <w:ilvl w:val="0"/>
          <w:numId w:val="3"/>
        </w:numPr>
        <w:spacing w:before="180" w:after="60"/>
      </w:pPr>
      <w:r>
        <w:rPr>
          <w:b/>
          <w:sz w:val="24"/>
        </w:rPr>
        <w:t xml:space="preserve">Pooperačný priebeh a sledovanie</w:t>
      </w:r>
    </w:p>
    <w:p>
      <w:pPr>
        <w:pStyle w:val="Normal"/>
        <w:numPr>
          <w:ilvl w:val="0"/>
          <w:numId w:val="3"/>
        </w:numPr>
        <w:spacing w:before="0" w:after="60"/>
        <w:ind w:start="360" w:hanging="360"/>
      </w:pPr>
      <w:r>
        <w:rPr>
          <w:sz w:val="22"/>
          <w:szCs w:val="22"/>
        </w:rPr>
        <w:t xml:space="preserve">Hospitalizácia 1–2 dni; miesto vpichu sa kontroluje 4–6 hodín po výkone.</w:t>
      </w:r>
    </w:p>
    <w:p>
      <w:pPr>
        <w:pStyle w:val="Normal"/>
        <w:numPr>
          <w:ilvl w:val="0"/>
          <w:numId w:val="3"/>
        </w:numPr>
        <w:spacing w:before="0" w:after="60"/>
        <w:ind w:start="360" w:hanging="360"/>
      </w:pPr>
      <w:r>
        <w:rPr>
          <w:sz w:val="22"/>
          <w:szCs w:val="22"/>
        </w:rPr>
        <w:t xml:space="preserve">Doživotná antiagregačná liečba (kyselina acetylsalicylová ± klopidogrel po dobu 1–3 mesiacov); statíny.</w:t>
      </w:r>
    </w:p>
    <w:p>
      <w:pPr>
        <w:pStyle w:val="Normal"/>
        <w:numPr>
          <w:ilvl w:val="0"/>
          <w:numId w:val="3"/>
        </w:numPr>
        <w:spacing w:before="0" w:after="60"/>
        <w:ind w:start="360" w:hanging="360"/>
      </w:pPr>
      <w:r>
        <w:rPr>
          <w:sz w:val="22"/>
          <w:szCs w:val="22"/>
        </w:rPr>
        <w:t xml:space="preserve">Kontrolný ultrazvuk (ABI – kotníkovo-brachiálny index) po 1 a 6 mesiacoch.</w:t>
      </w:r>
    </w:p>
    <w:p>
      <w:pPr>
        <w:pStyle w:val="Normal"/>
        <w:numPr>
          <w:ilvl w:val="0"/>
          <w:numId w:val="3"/>
        </w:numPr>
        <w:spacing w:before="0" w:after="60"/>
        <w:ind w:start="360" w:hanging="360"/>
      </w:pPr>
      <w:r>
        <w:rPr>
          <w:sz w:val="22"/>
          <w:szCs w:val="22"/>
        </w:rPr>
        <w:t xml:space="preserve">Pravidelná fyzická aktivita (chôdza), starostlivosť o nohy, abstinencia od fajčenia.</w:t>
      </w:r>
    </w:p>
    <w:p>
      <w:pPr>
        <w:spacing w:after="80"/>
      </w:pPr>
    </w:p>
    <w:p>
      <w:pPr>
        <w:pStyle w:val="Heading2"/>
        <w:numPr>
          <w:ilvl w:val="0"/>
          <w:numId w:val="3"/>
        </w:numPr>
        <w:spacing w:before="180" w:after="60"/>
      </w:pPr>
      <w:r>
        <w:rPr>
          <w:b/>
          <w:sz w:val="24"/>
        </w:rPr>
        <w:t xml:space="preserve">Informácie o kontrastnej (röntgenovej) látke</w:t>
      </w:r>
    </w:p>
    <w:p>
      <w:pPr>
        <w:pStyle w:val="Normal"/>
        <w:spacing w:before="0" w:after="120"/>
        <w:jc w:val="both"/>
        <w:rPr>
          <w:sz w:val="22"/>
          <w:szCs w:val="22"/>
        </w:rPr>
      </w:pPr>
      <w:r>
        <w:rPr>
          <w:sz w:val="22"/>
          <w:szCs w:val="22"/>
        </w:rPr>
        <w:t xml:space="preserve">Na zobrazenie ciev počas výkonu je nevyhnutné podanie jódovej kontrastnej látky priamo do tepien.</w:t>
      </w:r>
    </w:p>
    <w:p>
      <w:pPr>
        <w:pStyle w:val="Normal"/>
        <w:spacing w:before="80" w:after="60"/>
        <w:jc w:val="both"/>
        <w:rPr>
          <w:sz w:val="22"/>
          <w:szCs w:val="22"/>
        </w:rPr>
      </w:pPr>
      <w:r>
        <w:rPr>
          <w:sz w:val="22"/>
          <w:szCs w:val="22"/>
        </w:rPr>
        <w:t xml:space="preserve">Prosím, informujte svojho lekára, ak:</w:t>
      </w:r>
    </w:p>
    <w:p>
      <w:pPr>
        <w:pStyle w:val="Normal"/>
        <w:numPr>
          <w:ilvl w:val="0"/>
          <w:numId w:val="3"/>
        </w:numPr>
        <w:spacing w:before="0" w:after="60"/>
        <w:ind w:start="360" w:hanging="360"/>
      </w:pPr>
      <w:r>
        <w:rPr>
          <w:sz w:val="22"/>
          <w:szCs w:val="22"/>
        </w:rPr>
        <w:t xml:space="preserve">Ste niekedy mali alergickú reakciu na kontrastnú látku.</w:t>
      </w:r>
    </w:p>
    <w:p>
      <w:pPr>
        <w:pStyle w:val="Normal"/>
        <w:numPr>
          <w:ilvl w:val="0"/>
          <w:numId w:val="3"/>
        </w:numPr>
        <w:spacing w:before="0" w:after="60"/>
        <w:ind w:start="360" w:hanging="360"/>
      </w:pPr>
      <w:r>
        <w:rPr>
          <w:sz w:val="22"/>
          <w:szCs w:val="22"/>
        </w:rPr>
        <w:t xml:space="preserve">Trpíte astmou alebo závažnými alergiami.</w:t>
      </w:r>
    </w:p>
    <w:p>
      <w:pPr>
        <w:pStyle w:val="Normal"/>
        <w:numPr>
          <w:ilvl w:val="0"/>
          <w:numId w:val="3"/>
        </w:numPr>
        <w:spacing w:before="0" w:after="60"/>
        <w:ind w:start="360" w:hanging="360"/>
      </w:pPr>
      <w:r>
        <w:rPr>
          <w:sz w:val="22"/>
          <w:szCs w:val="22"/>
        </w:rPr>
        <w:t xml:space="preserve">Máte ochorenie obličiek alebo cukrovku.</w:t>
      </w:r>
    </w:p>
    <w:p>
      <w:pPr>
        <w:pStyle w:val="Normal"/>
        <w:numPr>
          <w:ilvl w:val="0"/>
          <w:numId w:val="3"/>
        </w:numPr>
        <w:spacing w:before="0" w:after="60"/>
        <w:ind w:start="360" w:hanging="360"/>
      </w:pPr>
      <w:r>
        <w:rPr>
          <w:sz w:val="22"/>
          <w:szCs w:val="22"/>
        </w:rPr>
        <w:t xml:space="preserve">Užívate metformín (napr. Glucophage, Siofor).</w:t>
      </w:r>
    </w:p>
    <w:p>
      <w:pPr>
        <w:pStyle w:val="Normal"/>
        <w:numPr>
          <w:ilvl w:val="0"/>
          <w:numId w:val="3"/>
        </w:numPr>
        <w:spacing w:before="0" w:after="60"/>
        <w:ind w:start="360" w:hanging="360"/>
      </w:pPr>
      <w:r>
        <w:rPr>
          <w:sz w:val="22"/>
          <w:szCs w:val="22"/>
        </w:rPr>
        <w:t xml:space="preserve">Máte ochorenie štítnej žľazy.</w:t>
      </w:r>
    </w:p>
    <w:p>
      <w:pPr>
        <w:pStyle w:val="Normal"/>
        <w:numPr>
          <w:ilvl w:val="0"/>
          <w:numId w:val="3"/>
        </w:numPr>
        <w:spacing w:before="0" w:after="60"/>
        <w:ind w:start="360" w:hanging="360"/>
      </w:pPr>
      <w:r>
        <w:rPr>
          <w:sz w:val="22"/>
          <w:szCs w:val="22"/>
        </w:rPr>
        <w:t xml:space="preserve">Máte závažné srdcové ochorenie.</w:t>
      </w:r>
    </w:p>
    <w:p>
      <w:pPr>
        <w:pStyle w:val="Normal"/>
        <w:spacing w:before="120" w:after="60"/>
        <w:jc w:val="left"/>
        <w:rPr>
          <w:sz w:val="22"/>
          <w:szCs w:val="22"/>
          <w:b/>
        </w:rPr>
      </w:pPr>
      <w:r>
        <w:rPr>
          <w:sz w:val="22"/>
          <w:szCs w:val="22"/>
          <w:b/>
        </w:rPr>
        <w:t xml:space="preserve">Riziká spojené s podaním kontrastnej látky:</w:t>
      </w:r>
    </w:p>
    <w:p>
      <w:pPr>
        <w:pStyle w:val="Normal"/>
        <w:spacing w:before="0" w:after="80"/>
        <w:jc w:val="both"/>
      </w:pPr>
      <w:r>
        <w:rPr>
          <w:b/>
          <w:sz w:val="22"/>
          <w:szCs w:val="22"/>
        </w:rPr>
        <w:t xml:space="preserve">Alergické reakcie: </w:t>
      </w:r>
      <w:r>
        <w:rPr>
          <w:sz w:val="22"/>
          <w:szCs w:val="22"/>
        </w:rPr>
        <w:t xml:space="preserve">Mierne reakcie (žihľavka, svrbenie, nevoľnosť) sa vyskytujú u cca 0,6 % pacientov. Závažné reakcie (ťažkosti s dýchaním, pokles tlaku) sú vzácne (0,04 %), ale môžu byť život ohrozujúce. Pri predchádzajúcej reakcii na kontrastnú látku je riziko cca 5× vyššie – v takom prípade budú podané ochranné lieky, ktoré riziko znižujú, ale nemôžu ho úplne vylúčiť.</w:t>
      </w:r>
    </w:p>
    <w:p>
      <w:pPr>
        <w:pStyle w:val="Normal"/>
        <w:spacing w:before="0" w:after="80"/>
        <w:jc w:val="both"/>
      </w:pPr>
      <w:r>
        <w:rPr>
          <w:b/>
          <w:sz w:val="22"/>
          <w:szCs w:val="22"/>
        </w:rPr>
        <w:t xml:space="preserve">Poškodenie obličiek: </w:t>
      </w:r>
      <w:r>
        <w:rPr>
          <w:sz w:val="22"/>
          <w:szCs w:val="22"/>
        </w:rPr>
        <w:t xml:space="preserve">Vyskytuje sa u cca 2,6 % pacientov po tomto type výkonu. Prejavuje sa zhoršením funkcie obličiek, vzácne môže byť potrebná dočasná dialýza. Riziko je vyššie u pacientov s existujúcim ochorením obličiek, cukrovkou a vyšším vekom.</w:t>
      </w:r>
    </w:p>
    <w:p>
      <w:pPr>
        <w:pStyle w:val="Normal"/>
        <w:spacing w:before="0" w:after="80"/>
        <w:jc w:val="both"/>
      </w:pPr>
      <w:r>
        <w:rPr>
          <w:b/>
          <w:sz w:val="22"/>
          <w:szCs w:val="22"/>
        </w:rPr>
        <w:t xml:space="preserve">Vplyv na štítnu žľazu: </w:t>
      </w:r>
      <w:r>
        <w:rPr>
          <w:sz w:val="22"/>
          <w:szCs w:val="22"/>
        </w:rPr>
        <w:t xml:space="preserve">U predisponovaných jedincov môže jód vzácne vyvolať poruchu funkcie štítnej žľazy.</w:t>
      </w:r>
    </w:p>
    <w:p>
      <w:pPr>
        <w:pStyle w:val="Normal"/>
        <w:spacing w:before="120" w:after="60"/>
        <w:jc w:val="left"/>
        <w:rPr>
          <w:sz w:val="22"/>
          <w:szCs w:val="22"/>
          <w:b/>
        </w:rPr>
      </w:pPr>
      <w:r>
        <w:rPr>
          <w:sz w:val="22"/>
          <w:szCs w:val="22"/>
          <w:b/>
        </w:rPr>
        <w:t xml:space="preserve">Ochranné opatrenia:</w:t>
      </w:r>
    </w:p>
    <w:p>
      <w:pPr>
        <w:pStyle w:val="Normal"/>
        <w:numPr>
          <w:ilvl w:val="0"/>
          <w:numId w:val="3"/>
        </w:numPr>
        <w:spacing w:before="0" w:after="60"/>
        <w:ind w:start="360" w:hanging="360"/>
      </w:pPr>
      <w:r>
        <w:rPr>
          <w:sz w:val="22"/>
          <w:szCs w:val="22"/>
        </w:rPr>
        <w:t xml:space="preserve">Pred výkonom bude vyšetrená funkcia obličiek.</w:t>
      </w:r>
    </w:p>
    <w:p>
      <w:pPr>
        <w:pStyle w:val="Normal"/>
        <w:numPr>
          <w:ilvl w:val="0"/>
          <w:numId w:val="3"/>
        </w:numPr>
        <w:spacing w:before="0" w:after="60"/>
        <w:ind w:start="360" w:hanging="360"/>
      </w:pPr>
      <w:r>
        <w:rPr>
          <w:sz w:val="22"/>
          <w:szCs w:val="22"/>
        </w:rPr>
        <w:t xml:space="preserve">Budete dostatočne hydratovaný/á (tekutiny do žily).</w:t>
      </w:r>
    </w:p>
    <w:p>
      <w:pPr>
        <w:pStyle w:val="Normal"/>
        <w:numPr>
          <w:ilvl w:val="0"/>
          <w:numId w:val="3"/>
        </w:numPr>
        <w:spacing w:before="0" w:after="60"/>
        <w:ind w:start="360" w:hanging="360"/>
      </w:pPr>
      <w:r>
        <w:rPr>
          <w:sz w:val="22"/>
          <w:szCs w:val="22"/>
        </w:rPr>
        <w:t xml:space="preserve">Ak užívate metformín a máte zníženú funkciu obličiek, bude dočasne vysadený.</w:t>
      </w:r>
    </w:p>
    <w:p>
      <w:pPr>
        <w:pStyle w:val="Normal"/>
        <w:numPr>
          <w:ilvl w:val="0"/>
          <w:numId w:val="3"/>
        </w:numPr>
        <w:spacing w:before="0" w:after="60"/>
        <w:ind w:start="360" w:hanging="360"/>
      </w:pPr>
      <w:r>
        <w:rPr>
          <w:sz w:val="22"/>
          <w:szCs w:val="22"/>
        </w:rPr>
        <w:t xml:space="preserve">Množstvo kontrastnej látky bude minimalizované.</w:t>
      </w:r>
    </w:p>
    <w:p>
      <w:pPr>
        <w:pStyle w:val="Normal"/>
        <w:numPr>
          <w:ilvl w:val="0"/>
          <w:numId w:val="3"/>
        </w:numPr>
        <w:spacing w:before="0" w:after="60"/>
        <w:ind w:start="360" w:hanging="360"/>
      </w:pPr>
      <w:r>
        <w:rPr>
          <w:sz w:val="22"/>
          <w:szCs w:val="22"/>
        </w:rPr>
        <w:t xml:space="preserve">Funkcia obličiek bude kontrolovaná 48–72 hodín po výkone.</w:t>
      </w:r>
    </w:p>
    <w:p>
      <w:pPr>
        <w:spacing w:after="80"/>
      </w:pPr>
    </w:p>
    <w:p>
      <w:pPr>
        <w:spacing w:after="160"/>
      </w:pPr>
    </w:p>
    <w:p>
      <w:pPr>
        <w:pStyle w:val="Heading2"/>
        <w:numPr>
          <w:ilvl w:val="0"/>
          <w:numId w:val="3"/>
        </w:numPr>
        <w:spacing w:before="180" w:after="60"/>
      </w:pPr>
      <w:r>
        <w:rPr>
          <w:b/>
          <w:sz w:val="24"/>
        </w:rPr>
        <w:t xml:space="preserve">Vyhlásenie pacienta</w:t>
      </w:r>
    </w:p>
    <w:p>
      <w:pPr>
        <w:pStyle w:val="Normal"/>
        <w:spacing w:before="0" w:after="100"/>
        <w:jc w:val="both"/>
        <w:rPr>
          <w:sz w:val="22"/>
          <w:szCs w:val="22"/>
        </w:rPr>
      </w:pPr>
      <w:r>
        <w:rPr>
          <w:sz w:val="22"/>
          <w:szCs w:val="22"/>
        </w:rPr>
        <w:t xml:space="preserve">Vlastnoručným podpisom tohto dokumentu potvrdzujem, že:</w:t>
      </w:r>
    </w:p>
    <w:p>
      <w:pPr>
        <w:pStyle w:val="Normal"/>
        <w:spacing w:before="0" w:after="80"/>
        <w:ind w:start="360" w:hanging="360"/>
        <w:jc w:val="both"/>
      </w:pPr>
      <w:r>
        <w:rPr>
          <w:sz w:val="22"/>
          <w:szCs w:val="22"/>
        </w:rPr>
        <w:t xml:space="preserve">☐  Bol/a som zrozumiteľne informovaný/á o povahe, účele, priebehu a predpokladanom trvaní navrhovaného výkonu.</w:t>
      </w:r>
    </w:p>
    <w:p>
      <w:pPr>
        <w:pStyle w:val="Normal"/>
        <w:spacing w:before="0" w:after="80"/>
        <w:ind w:start="360" w:hanging="360"/>
        <w:jc w:val="both"/>
      </w:pPr>
      <w:r>
        <w:rPr>
          <w:sz w:val="22"/>
          <w:szCs w:val="22"/>
        </w:rPr>
        <w:t xml:space="preserve">☐  Bol/a som informovaný/á o možných rizikách, komplikáciách a nežiaducich účinkoch vrátane zriedkavých a závažných.</w:t>
      </w:r>
    </w:p>
    <w:p>
      <w:pPr>
        <w:pStyle w:val="Normal"/>
        <w:spacing w:before="0" w:after="80"/>
        <w:ind w:start="360" w:hanging="360"/>
        <w:jc w:val="both"/>
      </w:pPr>
      <w:r>
        <w:rPr>
          <w:sz w:val="22"/>
          <w:szCs w:val="22"/>
        </w:rPr>
        <w:t xml:space="preserve">☐  Bol/a som informovaný/á o alternatívnych možnostiach liečby a o dôsledkoch odmietnutia výkonu.</w:t>
      </w:r>
    </w:p>
    <w:p>
      <w:pPr>
        <w:pStyle w:val="Normal"/>
        <w:spacing w:before="0" w:after="80"/>
        <w:ind w:start="360" w:hanging="360"/>
        <w:jc w:val="both"/>
      </w:pPr>
      <w:r>
        <w:rPr>
          <w:sz w:val="22"/>
          <w:szCs w:val="22"/>
        </w:rPr>
        <w:t xml:space="preserve">☐  Bol/a som informovaný/á o pooperačnom režime vrátane potreby dlhodobej antikoagulačnej liečby a pravidelného sledovania.</w:t>
      </w:r>
    </w:p>
    <w:p>
      <w:pPr>
        <w:pStyle w:val="Normal"/>
        <w:spacing w:before="0" w:after="80"/>
        <w:ind w:start="360" w:hanging="360"/>
        <w:jc w:val="both"/>
      </w:pPr>
      <w:r>
        <w:rPr>
          <w:sz w:val="22"/>
          <w:szCs w:val="22"/>
        </w:rPr>
        <w:t xml:space="preserve">☐  Rozumiem, že počas výkonu môže byť na základe aktuálneho nálezu rozhodnuté o zavedení cudzieho materiálu, a s týmto postupom súhlasím.</w:t>
      </w:r>
    </w:p>
    <w:p>
      <w:pPr>
        <w:pStyle w:val="Normal"/>
        <w:spacing w:before="0" w:after="80"/>
        <w:ind w:start="360" w:hanging="360"/>
        <w:jc w:val="both"/>
      </w:pPr>
      <w:r>
        <w:rPr>
          <w:sz w:val="22"/>
          <w:szCs w:val="22"/>
        </w:rPr>
        <w:t xml:space="preserve">☐  Mal/a som dostatočný čas si tento informovaný súhlas prečítať, porozumieť jeho obsahu a slobodne sa rozhodnúť.</w:t>
      </w:r>
    </w:p>
    <w:p>
      <w:pPr>
        <w:pStyle w:val="Normal"/>
        <w:spacing w:before="0" w:after="80"/>
        <w:ind w:start="360" w:hanging="360"/>
        <w:jc w:val="both"/>
      </w:pPr>
      <w:r>
        <w:rPr>
          <w:sz w:val="22"/>
          <w:szCs w:val="22"/>
        </w:rPr>
        <w:t xml:space="preserve">☐  Mal/a som možnosť klásť otázky a všetky moje otázky boli zodpovedané.</w:t>
      </w:r>
    </w:p>
    <w:p>
      <w:pPr>
        <w:pStyle w:val="Normal"/>
        <w:spacing w:before="0" w:after="80"/>
        <w:ind w:start="360" w:hanging="360"/>
        <w:jc w:val="both"/>
      </w:pPr>
      <w:r>
        <w:rPr>
          <w:sz w:val="22"/>
          <w:szCs w:val="22"/>
        </w:rPr>
        <w:t xml:space="preserve">☐  Súhlasím s podaním kontrastnej látky, trombolytika a ďalších liekov potrebných na vykonanie výkonu.</w:t>
      </w:r>
    </w:p>
    <w:p>
      <w:pPr>
        <w:pStyle w:val="Normal"/>
        <w:spacing w:before="0" w:after="80"/>
        <w:ind w:start="360" w:hanging="360"/>
        <w:jc w:val="both"/>
      </w:pPr>
      <w:r>
        <w:rPr>
          <w:sz w:val="22"/>
          <w:szCs w:val="22"/>
        </w:rPr>
        <w:t xml:space="preserve">☐  Tento súhlas udeľujem dobrovoľne, bez nátlaku, a som si vedomý/á, že ho môžem kedykoľvek pred začiatkom výkonu odvolať.</w:t>
      </w:r>
    </w:p>
    <w:p>
      <w:pPr>
        <w:pStyle w:val="Normal"/>
        <w:spacing w:before="0" w:after="80"/>
        <w:ind w:start="360" w:hanging="360"/>
        <w:jc w:val="both"/>
      </w:pPr>
      <w:r>
        <w:rPr>
          <w:sz w:val="22"/>
          <w:szCs w:val="22"/>
        </w:rPr>
        <w:t xml:space="preserve">☐  Bol/a som informovaný/á o rizikách spojených s podaním jódovej kontrastnej látky vrátane alergickej reakcie, poškodenia obličiek a vplyvu na štítnu žľazu. Informoval/a som lekára o všetkých svojich alergiách, ochoreniach obličiek, cukrovke, ochoreniach štítnej žľazy a užívaných liekoch.</w:t>
      </w:r>
    </w:p>
    <w:p>
      <w:pPr>
        <w:pStyle w:val="Normal"/>
        <w:spacing w:before="0" w:after="80"/>
        <w:ind w:start="360" w:hanging="360"/>
        <w:jc w:val="both"/>
      </w:pPr>
      <w:r>
        <w:rPr>
          <w:sz w:val="22"/>
          <w:szCs w:val="22"/>
        </w:rPr>
        <w:t xml:space="preserve">☐  Bol/a som informovaný/á o potrebe vysadenia metformínu (ak ho užívam) a ďalších liekov pred výkonom podľa pokynov lekára.</w:t>
      </w:r>
    </w:p>
    <w:p>
      <w:pPr>
        <w:spacing w:after="120"/>
      </w:pPr>
    </w:p>
    <w:p>
      <w:pPr>
        <w:pStyle w:val="Normal"/>
        <w:spacing w:before="0" w:after="200"/>
        <w:jc w:val="both"/>
        <w:rPr>
          <w:sz w:val="22"/>
          <w:szCs w:val="22"/>
          <w:b/>
        </w:rPr>
      </w:pPr>
      <w:r>
        <w:rPr>
          <w:sz w:val="22"/>
          <w:szCs w:val="22"/>
          <w:b/>
        </w:rPr>
        <w:t xml:space="preserve">Na základe vyššie uvedených informácií slobodne a dobrovoľne súhlasím s vykonaním navrhovaného výkonu.</w:t>
      </w:r>
    </w:p>
    <w:p>
      <w:pPr>
        <w:pStyle w:val="Normal"/>
        <w:spacing w:before="360" w:after="80"/>
      </w:pPr>
      <w:r>
        <w:rPr>
          <w:b/>
          <w:sz w:val="22"/>
        </w:rPr>
        <w:t xml:space="preserve">Podpis pacienta: </w:t>
      </w:r>
      <w:r>
        <w:rPr>
          <w:sz w:val="22"/>
        </w:rPr>
        <w:t xml:space="preserve">_________________________       </w:t>
      </w:r>
      <w:r>
        <w:rPr>
          <w:b/>
          <w:sz w:val="22"/>
        </w:rPr>
        <w:t xml:space="preserve">Podpis zákonného zástupcu (ak relevantné): </w:t>
      </w:r>
      <w:r>
        <w:rPr>
          <w:sz w:val="22"/>
        </w:rPr>
        <w:t>_________________________</w:t>
      </w:r>
    </w:p>
    <w:p>
      <w:pPr>
        <w:pStyle w:val="Normal"/>
        <w:spacing w:after="60"/>
      </w:pPr>
      <w:r>
        <w:rPr>
          <w:b/>
          <w:sz w:val="22"/>
        </w:rPr>
        <w:t xml:space="preserve">Dátum a čas: </w:t>
      </w:r>
      <w:r>
        <w:rPr>
          <w:sz w:val="22"/>
        </w:rPr>
        <w:t>___________________</w:t>
      </w:r>
    </w:p>
    <w:p>
      <w:pPr>
        <w:spacing w:after="200"/>
      </w:pPr>
    </w:p>
    <w:p>
      <w:pPr>
        <w:pStyle w:val="Heading2"/>
        <w:numPr>
          <w:ilvl w:val="0"/>
          <w:numId w:val="3"/>
        </w:numPr>
        <w:spacing w:before="180" w:after="60"/>
      </w:pPr>
      <w:r>
        <w:rPr>
          <w:b/>
          <w:sz w:val="24"/>
        </w:rPr>
        <w:t xml:space="preserve">Vyhlásenie lekára</w:t>
      </w:r>
    </w:p>
    <w:p>
      <w:pPr>
        <w:pStyle w:val="Normal"/>
        <w:spacing w:before="0" w:after="120"/>
        <w:jc w:val="both"/>
        <w:rPr>
          <w:sz w:val="22"/>
          <w:szCs w:val="22"/>
        </w:rPr>
      </w:pPr>
      <w:r>
        <w:rPr>
          <w:sz w:val="22"/>
          <w:szCs w:val="22"/>
        </w:rPr>
        <w:t xml:space="preserve">Potvrdzujem, že som pacientovi/pacientke poskytol/la úplné a zrozumiteľné informácie o navrhovanom výkone, jeho rizikách, prínosoch a alternatívach v zmysle §6 zákona č. 576/2004 Z.z. Pacient/ka mal/a dostatočný čas na zváženie informácií a kladenie otázok. Podľa môjho najlepšieho vedomia má pacient/ka kapacitu pochopiť poskytnuté informácie a urobiť slobodné informované rozhodnutie.</w:t>
      </w:r>
    </w:p>
    <w:p>
      <w:pPr>
        <w:spacing w:after="200"/>
      </w:pPr>
    </w:p>
    <w:p>
      <w:pPr>
        <w:pStyle w:val="Normal"/>
        <w:spacing w:before="360" w:after="80"/>
      </w:pPr>
      <w:r>
        <w:rPr>
          <w:b/>
          <w:sz w:val="22"/>
        </w:rPr>
        <w:t xml:space="preserve">Podpis lekára: </w:t>
      </w:r>
      <w:r>
        <w:rPr>
          <w:sz w:val="22"/>
        </w:rPr>
        <w:t xml:space="preserve">_________________________       </w:t>
      </w:r>
      <w:r>
        <w:rPr>
          <w:b/>
          <w:sz w:val="22"/>
        </w:rPr>
        <w:t xml:space="preserve">Podpis svedka: </w:t>
      </w:r>
      <w:r>
        <w:rPr>
          <w:sz w:val="22"/>
        </w:rPr>
        <w:t>_________________________</w:t>
      </w:r>
    </w:p>
    <w:p>
      <w:pPr>
        <w:pStyle w:val="Normal"/>
        <w:spacing w:after="60"/>
      </w:pPr>
      <w:r>
        <w:rPr>
          <w:b/>
          <w:sz w:val="22"/>
        </w:rPr>
        <w:t xml:space="preserve">Dátum a čas: </w:t>
      </w:r>
      <w:r>
        <w:rPr>
          <w:sz w:val="22"/>
        </w:rPr>
        <w:t>___________________</w:t>
      </w:r>
    </w:p>
    <w:sectPr>
      <w:headerReference w:type="default" r:id="rId2"/>
      <w:type w:val="nextPage"/>
      <w:pgSz w:w="11906" w:h="16838"/>
      <w:pgMar w:left="851" w:right="851" w:gutter="0" w:header="420" w:top="476" w:footer="0" w:bottom="42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ee" w:characterSet="windows-1250"/>
    <w:family w:val="swiss"/>
    <w:pitch w:val="variable"/>
  </w:font>
  <w:font w:name="Liberation Sans">
    <w:altName w:val="Arial"/>
    <w:charset w:val="01" w:characterSet="utf-8"/>
    <w:family w:val="swiss"/>
    <w:pitch w:val="variable"/>
  </w:font>
  <w:font w:name="Times New Roman">
    <w:charset w:val="ee" w:characterSet="windows-1250"/>
    <w:family w:val="roman"/>
    <w:pitch w:val="variable"/>
  </w:font>
  <w:font w:name="ZapfCalligr AT">
    <w:altName w:val="Times New Roman"/>
    <w:charset w:val="00" w:characterSet="windows-1252"/>
    <w:family w:val="auto"/>
    <w:pitch w:val="variable"/>
  </w:font>
  <w:font w:name="Arial Narrow">
    <w:charset w:val="ee" w:characterSet="windows-1250"/>
    <w:family w:val="swiss"/>
    <w:pitch w:val="variable"/>
  </w:font>
  <w:font w:name="Courier New">
    <w:charset w:val="ee" w:characterSet="windows-1250"/>
    <w:family w:val="modern"/>
    <w:pitch w:val="default"/>
  </w:font>
  <w:font w:name="Tahoma">
    <w:charset w:val="ee" w:characterSet="windows-125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632" w:type="dxa"/>
      <w:jc w:val="start"/>
      <w:tblInd w:w="70" w:type="dxa"/>
      <w:tblLayout w:type="fixed"/>
      <w:tblCellMar>
        <w:top w:w="0" w:type="dxa"/>
        <w:start w:w="70" w:type="dxa"/>
        <w:bottom w:w="0" w:type="dxa"/>
        <w:end w:w="70" w:type="dxa"/>
      </w:tblCellMar>
    </w:tblPr>
    <w:tblGrid>
      <w:gridCol w:w="851"/>
      <w:gridCol w:w="2410"/>
      <w:gridCol w:w="7371"/>
    </w:tblGrid>
    <w:tr>
      <w:trPr/>
      <w:tc>
        <w:tcPr>
          <w:tcW w:w="3261" w:type="dxa"/>
          <w:gridSpan w:val="2"/>
          <w:tcBorders>
            <w:bottom w:val="single" w:sz="4" w:space="0" w:color="000000"/>
          </w:tcBorders>
        </w:tcPr>
        <w:p>
          <w:pPr>
            <w:pStyle w:val="Normal"/>
            <w:rPr>
              <w:rFonts w:ascii="Arial Narrow" w:hAnsi="Arial Narrow" w:cs="Arial Narrow"/>
              <w:sz w:val="16"/>
            </w:rPr>
          </w:pPr>
          <w:r>
            <w:rPr>
              <w:rFonts w:cs="Arial Narrow" w:ascii="Arial Narrow" w:hAnsi="Arial Narrow"/>
              <w:sz w:val="16"/>
            </w:rPr>
            <w:t xml:space="preserve">Strana </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PAGE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r>
            <w:rPr>
              <w:rStyle w:val="PageNumber"/>
              <w:rFonts w:cs="Arial Narrow" w:ascii="Arial Narrow" w:hAnsi="Arial Narrow"/>
              <w:sz w:val="16"/>
              <w:lang w:val="cs-CZ"/>
            </w:rPr>
            <w:t>/</w:t>
          </w:r>
          <w:r>
            <w:rPr>
              <w:rStyle w:val="PageNumber"/>
              <w:rFonts w:cs="Arial Narrow" w:ascii="Arial Narrow" w:hAnsi="Arial Narrow"/>
              <w:sz w:val="16"/>
              <w:lang w:val="cs-CZ"/>
            </w:rPr>
            <w:fldChar w:fldCharType="begin"/>
          </w:r>
          <w:r>
            <w:rPr>
              <w:rStyle w:val="PageNumber"/>
              <w:sz w:val="16"/>
              <w:rFonts w:cs="Arial Narrow" w:ascii="Arial Narrow" w:hAnsi="Arial Narrow"/>
              <w:lang w:val="cs-CZ"/>
            </w:rPr>
            <w:instrText xml:space="preserve"> NUMPAGES \* ARABIC </w:instrText>
          </w:r>
          <w:r>
            <w:rPr>
              <w:rStyle w:val="PageNumber"/>
              <w:sz w:val="16"/>
              <w:rFonts w:cs="Arial Narrow" w:ascii="Arial Narrow" w:hAnsi="Arial Narrow"/>
              <w:lang w:val="cs-CZ"/>
            </w:rPr>
            <w:fldChar w:fldCharType="separate"/>
          </w:r>
          <w:r>
            <w:rPr>
              <w:rStyle w:val="PageNumber"/>
              <w:sz w:val="16"/>
              <w:rFonts w:cs="Arial Narrow" w:ascii="Arial Narrow" w:hAnsi="Arial Narrow"/>
              <w:lang w:val="cs-CZ"/>
            </w:rPr>
            <w:t>2</w:t>
          </w:r>
          <w:r>
            <w:rPr>
              <w:rStyle w:val="PageNumber"/>
              <w:sz w:val="16"/>
              <w:rFonts w:cs="Arial Narrow" w:ascii="Arial Narrow" w:hAnsi="Arial Narrow"/>
              <w:lang w:val="cs-CZ"/>
            </w:rPr>
            <w:fldChar w:fldCharType="end"/>
          </w:r>
        </w:p>
      </w:tc>
      <w:tc>
        <w:tcPr>
          <w:tcW w:w="7371" w:type="dxa"/>
          <w:tcBorders>
            <w:bottom w:val="single" w:sz="4" w:space="0" w:color="000000"/>
          </w:tcBorders>
        </w:tcPr>
        <w:p>
          <w:pPr>
            <w:pStyle w:val="Normal"/>
            <w:rPr>
              <w:rFonts w:ascii="Arial Narrow" w:hAnsi="Arial Narrow" w:cs="Arial Narrow"/>
              <w:sz w:val="16"/>
            </w:rPr>
          </w:pPr>
          <w:r>
            <w:rPr>
              <w:rFonts w:cs="Arial Narrow" w:ascii="Arial Narrow" w:hAnsi="Arial Narrow"/>
              <w:sz w:val="16"/>
            </w:rPr>
            <w:t>Platnosť od : 01.08.2026                                                                                                                                          F. 103a.4</w:t>
          </w:r>
        </w:p>
      </w:tc>
    </w:tr>
    <w:tr>
      <w:trPr>
        <w:trHeight w:val="1110" w:hRule="atLeast"/>
        <w:cantSplit w:val="true"/>
      </w:trPr>
      <w:tc>
        <w:tcPr>
          <w:tcW w:w="851" w:type="dxa"/>
          <w:tcBorders>
            <w:top w:val="single" w:sz="4" w:space="0" w:color="000000"/>
            <w:start w:val="single" w:sz="4" w:space="0" w:color="000000"/>
            <w:bottom w:val="single" w:sz="4" w:space="0" w:color="000000"/>
          </w:tcBorders>
        </w:tcPr>
        <w:p>
          <w:pPr>
            <w:pStyle w:val="Heading2"/>
            <w:numPr>
              <w:ilvl w:val="0"/>
              <w:numId w:val="0"/>
            </w:numPr>
            <w:spacing w:before="60" w:after="60"/>
            <w:ind w:hanging="0" w:start="0"/>
            <w:jc w:val="center"/>
            <w:rPr>
              <w:sz w:val="16"/>
            </w:rPr>
          </w:pPr>
          <w:r>
            <w:rPr/>
            <w:drawing>
              <wp:inline distT="0" distB="0" distL="0" distR="0">
                <wp:extent cx="461645" cy="6191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1"/>
                        <a:srcRect l="-16" t="-12" r="-16" b="-12"/>
                        <a:stretch>
                          <a:fillRect/>
                        </a:stretch>
                      </pic:blipFill>
                      <pic:spPr bwMode="auto">
                        <a:xfrm>
                          <a:off x="0" y="0"/>
                          <a:ext cx="461645" cy="619125"/>
                        </a:xfrm>
                        <a:prstGeom prst="rect">
                          <a:avLst/>
                        </a:prstGeom>
                      </pic:spPr>
                    </pic:pic>
                  </a:graphicData>
                </a:graphic>
              </wp:inline>
            </w:drawing>
          </w:r>
        </w:p>
      </w:tc>
      <w:tc>
        <w:tcPr>
          <w:tcW w:w="2410" w:type="dxa"/>
          <w:tcBorders>
            <w:top w:val="single" w:sz="4" w:space="0" w:color="000000"/>
            <w:bottom w:val="single" w:sz="4" w:space="0" w:color="000000"/>
            <w:end w:val="single" w:sz="4" w:space="0" w:color="000000"/>
          </w:tcBorders>
        </w:tcPr>
        <w:p>
          <w:pPr>
            <w:pStyle w:val="Heading2"/>
            <w:numPr>
              <w:ilvl w:val="0"/>
              <w:numId w:val="0"/>
            </w:numPr>
            <w:spacing w:before="120" w:after="0"/>
            <w:ind w:hanging="0" w:start="0"/>
            <w:jc w:val="center"/>
            <w:rPr>
              <w:sz w:val="20"/>
            </w:rPr>
          </w:pPr>
          <w:r>
            <w:rPr>
              <w:sz w:val="20"/>
            </w:rPr>
            <w:t>Národný  ústav srdcových a cievnych chorôb, a.s.</w:t>
          </w:r>
        </w:p>
      </w:tc>
      <w:tc>
        <w:tcPr>
          <w:tcW w:w="7371" w:type="dxa"/>
          <w:tcBorders>
            <w:top w:val="single" w:sz="4" w:space="0" w:color="000000"/>
            <w:bottom w:val="single" w:sz="4" w:space="0" w:color="000000"/>
            <w:end w:val="single" w:sz="4" w:space="0" w:color="000000"/>
          </w:tcBorders>
          <w:shd w:fill="D8D8D8" w:val="clear"/>
        </w:tcPr>
        <w:p>
          <w:pPr>
            <w:pStyle w:val="Normal"/>
            <w:keepNext w:val="true"/>
            <w:keepLines/>
            <w:spacing w:before="360" w:after="240"/>
            <w:ind w:start="40" w:end="40"/>
            <w:jc w:val="center"/>
            <w:rPr>
              <w:b/>
              <w:color w:val="000000"/>
              <w:sz w:val="24"/>
            </w:rPr>
          </w:pPr>
          <w:r>
            <w:rPr>
              <w:b/>
              <w:caps/>
              <w:sz w:val="24"/>
              <w:szCs w:val="24"/>
            </w:rPr>
            <w:t>INFORMOVANÝ SÚHLAS PACIENTA – ANGIOPLASTIKA PERIFÉRNYCH TEPIEN</w:t>
          </w:r>
        </w:p>
        <w:p>
          <w:pPr>
            <w:pStyle w:val="Normal"/>
            <w:spacing w:before="0" w:after="140"/>
            <w:ind w:start="40" w:end="40"/>
            <w:jc w:val="center"/>
          </w:pPr>
          <w:r>
            <w:rPr>
              <w:i/>
              <w:color w:val="333333"/>
              <w:sz w:val="16"/>
              <w:szCs w:val="16"/>
            </w:rPr>
            <w:t>Poučenie podľa §6 zákona č. 576/2004 Z.z. o zdravotnej starostlivosti, službách súvisiacich s poskytovaním zdravotnej starostlivosti a o zmene a doplnení niektorých zákonov (plánovaný výkon – zrozumiteľne laicky)</w:t>
          </w:r>
        </w:p>
      </w:tc>
    </w:tr>
  </w:tbl>
  <w:p>
    <w:pPr>
      <w:pStyle w:val="Header"/>
      <w:rPr>
        <w:sz w:val="4"/>
        <w:lang w:val="sk-SK"/>
      </w:rPr>
    </w:pPr>
    <w:r>
      <w:rPr>
        <w:sz w:val="4"/>
        <w:lang w:val="sk-SK"/>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705"/>
        </w:tabs>
        <w:ind w:start="705" w:hanging="705"/>
      </w:pPr>
      <w:rPr>
        <w:caps/>
        <w:outline w:val="false"/>
        <w:dstrike w:val="false"/>
        <w:strike w:val="false"/>
        <w:vertAlign w:val="baseline"/>
        <w:position w:val="0"/>
        <w:sz w:val="24"/>
        <w:shadow w:val="false"/>
        <w:vanish w:val="false"/>
      </w:rPr>
    </w:lvl>
    <w:lvl w:ilvl="1">
      <w:start w:val="1"/>
      <w:pStyle w:val="Heading2"/>
      <w:numFmt w:val="decimal"/>
      <w:lvlText w:val="%1.%2"/>
      <w:lvlJc w:val="start"/>
      <w:pPr>
        <w:tabs>
          <w:tab w:val="num" w:pos="705"/>
        </w:tabs>
        <w:ind w:start="705" w:hanging="705"/>
      </w:pPr>
      <w:rPr/>
    </w:lvl>
    <w:lvl w:ilvl="2">
      <w:start w:val="1"/>
      <w:pStyle w:val="Heading3"/>
      <w:numFmt w:val="decimal"/>
      <w:lvlText w:val="%1.%2.%3"/>
      <w:lvlJc w:val="start"/>
      <w:pPr>
        <w:tabs>
          <w:tab w:val="num" w:pos="720"/>
        </w:tabs>
        <w:ind w:start="720" w:hanging="720"/>
      </w:pPr>
      <w:rPr/>
    </w:lvl>
    <w:lvl w:ilvl="3">
      <w:start w:val="1"/>
      <w:pStyle w:val="Heading4"/>
      <w:numFmt w:val="decimal"/>
      <w:suff w:val="space"/>
      <w:lvlText w:val="%1.%2.%3.%4"/>
      <w:lvlJc w:val="start"/>
      <w:pPr>
        <w:tabs>
          <w:tab w:val="num" w:pos="0"/>
        </w:tabs>
        <w:ind w:start="720" w:hanging="720"/>
      </w:pPr>
      <w:rPr/>
    </w:lvl>
    <w:lvl w:ilvl="4">
      <w:start w:val="1"/>
      <w:numFmt w:val="decimal"/>
      <w:lvlText w:val="%1.%2.%3.%4"/>
      <w:lvlJc w:val="start"/>
      <w:pPr>
        <w:tabs>
          <w:tab w:val="num" w:pos="1080"/>
        </w:tabs>
        <w:ind w:start="1080" w:hanging="1080"/>
      </w:pPr>
      <w:rPr/>
    </w:lvl>
    <w:lvl w:ilvl="5">
      <w:start w:val="1"/>
      <w:numFmt w:val="decimal"/>
      <w:lvlText w:val="%1.%2.%3.%4.%5.%6"/>
      <w:lvlJc w:val="start"/>
      <w:pPr>
        <w:tabs>
          <w:tab w:val="num" w:pos="1080"/>
        </w:tabs>
        <w:ind w:start="1080" w:hanging="1080"/>
      </w:pPr>
      <w:rPr/>
    </w:lvl>
    <w:lvl w:ilvl="6">
      <w:start w:val="1"/>
      <w:numFmt w:val="decimal"/>
      <w:lvlText w:val="%1.%2.%3.%4.%5.%6.%7"/>
      <w:lvlJc w:val="start"/>
      <w:pPr>
        <w:tabs>
          <w:tab w:val="num" w:pos="1440"/>
        </w:tabs>
        <w:ind w:start="1440" w:hanging="1440"/>
      </w:pPr>
      <w:rPr/>
    </w:lvl>
    <w:lvl w:ilvl="7">
      <w:start w:val="1"/>
      <w:numFmt w:val="decimal"/>
      <w:lvlText w:val="%1.%2.%3.%4.%5.%6.%7.%8"/>
      <w:lvlJc w:val="start"/>
      <w:pPr>
        <w:tabs>
          <w:tab w:val="num" w:pos="1440"/>
        </w:tabs>
        <w:ind w:start="1440" w:hanging="1440"/>
      </w:pPr>
      <w:rPr/>
    </w:lvl>
    <w:lvl w:ilvl="8">
      <w:start w:val="1"/>
      <w:numFmt w:val="decimal"/>
      <w:lvlText w:val="%1.%2.%3.%4.%5.%6.%7.%8.%9"/>
      <w:lvlJc w:val="start"/>
      <w:pPr>
        <w:tabs>
          <w:tab w:val="num" w:pos="1800"/>
        </w:tabs>
        <w:ind w:start="1800" w:hanging="1800"/>
      </w:pPr>
      <w:rPr/>
    </w:lvl>
  </w:abstractNum>
  <w:abstractNum w:abstractNumId="2">
    <w:lvl w:ilvl="0">
      <w:start w:val="1"/>
      <w:numFmt w:val="decimal"/>
      <w:lvlText w:val="%1."/>
      <w:lvlJc w:val="start"/>
      <w:pPr>
        <w:tabs>
          <w:tab w:val="num" w:pos="720"/>
        </w:tabs>
        <w:ind w:start="720" w:hanging="360"/>
      </w:pPr>
    </w:lvl>
  </w:abstractNum>
  <w:abstractNum w:abstractNumId="3">
    <w:lvl w:ilvl="0">
      <w:start w:val="1"/>
      <w:numFmt w:val="bullet"/>
      <w:lvlText w:val="•"/>
      <w:lvlJc w:val="start"/>
      <w:pPr>
        <w:ind w:start="36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sk-SK" w:bidi="ar-SA" w:eastAsia="zh-CN"/>
    </w:rPr>
  </w:style>
  <w:style w:type="paragraph" w:styleId="Heading1">
    <w:name w:val="Heading 1"/>
    <w:basedOn w:val="Normal"/>
    <w:next w:val="Normal"/>
    <w:qFormat/>
    <w:pPr>
      <w:numPr>
        <w:ilvl w:val="0"/>
        <w:numId w:val="1"/>
      </w:numPr>
      <w:spacing w:before="240" w:after="60"/>
      <w:outlineLvl w:val="0"/>
    </w:pPr>
    <w:rPr>
      <w:b/>
      <w:caps/>
      <w:kern w:val="2"/>
      <w:sz w:val="24"/>
      <w:lang w:val="cs-CZ"/>
    </w:rPr>
  </w:style>
  <w:style w:type="paragraph" w:styleId="Heading2">
    <w:name w:val="Heading 2"/>
    <w:basedOn w:val="Normal"/>
    <w:next w:val="Normal"/>
    <w:qFormat/>
    <w:pPr>
      <w:keepNext w:val="true"/>
      <w:numPr>
        <w:ilvl w:val="1"/>
        <w:numId w:val="1"/>
      </w:numPr>
      <w:spacing w:before="120" w:after="0"/>
      <w:outlineLvl w:val="1"/>
    </w:pPr>
    <w:rPr>
      <w:b/>
      <w:sz w:val="24"/>
    </w:rPr>
  </w:style>
  <w:style w:type="paragraph" w:styleId="Heading3">
    <w:name w:val="Heading 3"/>
    <w:basedOn w:val="Normal"/>
    <w:next w:val="Normal"/>
    <w:qFormat/>
    <w:pPr>
      <w:keepNext w:val="true"/>
      <w:numPr>
        <w:ilvl w:val="2"/>
        <w:numId w:val="1"/>
      </w:numPr>
      <w:spacing w:before="120" w:after="0"/>
      <w:outlineLvl w:val="2"/>
    </w:pPr>
    <w:rPr>
      <w:b/>
      <w:sz w:val="22"/>
    </w:rPr>
  </w:style>
  <w:style w:type="paragraph" w:styleId="Heading4">
    <w:name w:val="Heading 4"/>
    <w:basedOn w:val="Normal"/>
    <w:next w:val="Normal"/>
    <w:qFormat/>
    <w:pPr>
      <w:keepNext w:val="true"/>
      <w:numPr>
        <w:ilvl w:val="3"/>
        <w:numId w:val="1"/>
      </w:numPr>
      <w:spacing w:before="120" w:after="0"/>
      <w:outlineLvl w:val="3"/>
    </w:pPr>
    <w:rPr>
      <w:sz w:val="22"/>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style>
  <w:style w:type="paragraph" w:styleId="Heading8">
    <w:name w:val="Heading 8"/>
    <w:basedOn w:val="Normal"/>
    <w:next w:val="Normal"/>
    <w:qFormat/>
    <w:pPr>
      <w:spacing w:before="240" w:after="60"/>
      <w:outlineLvl w:val="7"/>
    </w:pPr>
    <w:rPr>
      <w:i/>
    </w:rPr>
  </w:style>
  <w:style w:type="paragraph" w:styleId="Heading9">
    <w:name w:val="Heading 9"/>
    <w:basedOn w:val="Normal"/>
    <w:next w:val="Normal"/>
    <w:qFormat/>
    <w:pPr>
      <w:spacing w:before="240" w:after="60"/>
      <w:outlineLvl w:val="8"/>
    </w:pPr>
    <w:rPr>
      <w:i/>
      <w:sz w:val="18"/>
    </w:rPr>
  </w:style>
  <w:style w:type="character" w:styleId="WW8Num3z0">
    <w:name w:val="WW8Num3z0"/>
    <w:qFormat/>
    <w:rPr>
      <w:caps/>
      <w:strike w:val="false"/>
      <w:dstrike w:val="false"/>
      <w:outline w:val="false"/>
      <w:shadow w:val="false"/>
      <w:vanish w:val="false"/>
      <w:position w:val="0"/>
      <w:sz w:val="24"/>
      <w:vertAlign w:val="baseline"/>
    </w:rPr>
  </w:style>
  <w:style w:type="character" w:styleId="WW8Num3z1">
    <w:name w:val="WW8Num3z1"/>
    <w:qFormat/>
    <w:rPr/>
  </w:style>
  <w:style w:type="character" w:styleId="Predvolenpsmoodseku">
    <w:name w:val="Predvolené písmo odseku"/>
    <w:qFormat/>
    <w:rPr/>
  </w:style>
  <w:style w:type="character" w:styleId="PageNumber">
    <w:name w:val="Page Number"/>
    <w:basedOn w:val="Predvolenpsmoodseku"/>
    <w:rPr/>
  </w:style>
  <w:style w:type="character" w:styleId="Hyperlink">
    <w:name w:val="Hyperlink"/>
    <w:rPr>
      <w:color w:val="0000FF"/>
      <w:u w:val="single"/>
    </w:rPr>
  </w:style>
  <w:style w:type="character" w:styleId="FollowedHyperlink">
    <w:name w:val="FollowedHyperlink"/>
    <w:rPr>
      <w:color w:val="8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tLeast" w:line="240"/>
    </w:pPr>
    <w:rPr>
      <w:color w:val="000000"/>
      <w:sz w:val="18"/>
      <w:lang w:val="cs-CZ"/>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536" w:leader="none"/>
        <w:tab w:val="right" w:pos="9072" w:leader="none"/>
      </w:tabs>
    </w:pPr>
    <w:rPr>
      <w:lang w:val="cs-CZ"/>
    </w:rPr>
  </w:style>
  <w:style w:type="paragraph" w:styleId="Popis">
    <w:name w:val="Popis"/>
    <w:basedOn w:val="Normal"/>
    <w:qFormat/>
    <w:pPr/>
    <w:rPr>
      <w:b/>
      <w:lang w:val="cs-CZ"/>
    </w:rPr>
  </w:style>
  <w:style w:type="paragraph" w:styleId="TOC1">
    <w:name w:val="TOC 1"/>
    <w:next w:val="Normal"/>
    <w:pPr>
      <w:widowControl/>
      <w:bidi w:val="0"/>
      <w:spacing w:before="60" w:after="0"/>
    </w:pPr>
    <w:rPr>
      <w:rFonts w:ascii="Arial" w:hAnsi="Arial" w:eastAsia="Times New Roman" w:cs="Arial"/>
      <w:caps/>
      <w:color w:val="auto"/>
      <w:sz w:val="22"/>
      <w:szCs w:val="20"/>
      <w:lang w:val="sk-SK" w:bidi="ar-SA" w:eastAsia="zh-CN"/>
    </w:rPr>
  </w:style>
  <w:style w:type="paragraph" w:styleId="TOC3">
    <w:name w:val="TOC 3"/>
    <w:next w:val="Normal"/>
    <w:pPr>
      <w:widowControl/>
      <w:bidi w:val="0"/>
      <w:ind w:hanging="0" w:start="200" w:end="0"/>
    </w:pPr>
    <w:rPr>
      <w:rFonts w:ascii="Times New Roman" w:hAnsi="Times New Roman" w:eastAsia="Times New Roman" w:cs="Times New Roman"/>
      <w:color w:val="auto"/>
      <w:sz w:val="20"/>
      <w:szCs w:val="20"/>
      <w:lang w:val="sk-SK" w:bidi="ar-SA" w:eastAsia="zh-CN"/>
    </w:rPr>
  </w:style>
  <w:style w:type="paragraph" w:styleId="TOC4">
    <w:name w:val="TOC 4"/>
    <w:next w:val="Normal"/>
    <w:pPr>
      <w:widowControl/>
      <w:bidi w:val="0"/>
      <w:ind w:hanging="0" w:start="400" w:end="0"/>
    </w:pPr>
    <w:rPr>
      <w:rFonts w:ascii="Times New Roman" w:hAnsi="Times New Roman" w:eastAsia="Times New Roman" w:cs="Times New Roman"/>
      <w:color w:val="auto"/>
      <w:sz w:val="20"/>
      <w:szCs w:val="20"/>
      <w:lang w:val="sk-SK" w:bidi="ar-SA" w:eastAsia="zh-CN"/>
    </w:rPr>
  </w:style>
  <w:style w:type="paragraph" w:styleId="TOC2">
    <w:name w:val="TOC 2"/>
    <w:basedOn w:val="Normal"/>
    <w:next w:val="Normal"/>
    <w:pPr>
      <w:spacing w:before="240" w:after="0"/>
    </w:pPr>
    <w:rPr>
      <w:rFonts w:ascii="Times New Roman" w:hAnsi="Times New Roman" w:cs="Times New Roman"/>
      <w:b/>
    </w:rPr>
  </w:style>
  <w:style w:type="paragraph" w:styleId="Footer">
    <w:name w:val="Footer"/>
    <w:basedOn w:val="Normal"/>
    <w:pPr>
      <w:tabs>
        <w:tab w:val="clear" w:pos="708"/>
        <w:tab w:val="center" w:pos="4536" w:leader="none"/>
        <w:tab w:val="right" w:pos="9072" w:leader="none"/>
      </w:tabs>
    </w:pPr>
    <w:rPr>
      <w:lang w:val="cs-CZ"/>
    </w:rPr>
  </w:style>
  <w:style w:type="paragraph" w:styleId="Zarkazkladnhotextu2">
    <w:name w:val="Zarážka základného textu 2"/>
    <w:basedOn w:val="Normal"/>
    <w:qFormat/>
    <w:pPr>
      <w:ind w:hanging="141" w:start="2268" w:end="0"/>
    </w:pPr>
    <w:rPr>
      <w:color w:val="000000"/>
      <w:lang w:val="cs-CZ"/>
    </w:rPr>
  </w:style>
  <w:style w:type="paragraph" w:styleId="Zarkazkladnhotextu3">
    <w:name w:val="Zarážka základného textu 3"/>
    <w:basedOn w:val="Normal"/>
    <w:qFormat/>
    <w:pPr>
      <w:ind w:hanging="142" w:start="426" w:end="0"/>
    </w:pPr>
    <w:rPr>
      <w:color w:val="000000"/>
    </w:rPr>
  </w:style>
  <w:style w:type="paragraph" w:styleId="Zkladntext2">
    <w:name w:val="Základný text 2"/>
    <w:basedOn w:val="Normal"/>
    <w:qFormat/>
    <w:pPr>
      <w:tabs>
        <w:tab w:val="clear" w:pos="708"/>
        <w:tab w:val="left" w:pos="990" w:leader="none"/>
      </w:tabs>
      <w:spacing w:lineRule="atLeast" w:line="240"/>
    </w:pPr>
    <w:rPr>
      <w:color w:val="000000"/>
    </w:rPr>
  </w:style>
  <w:style w:type="paragraph" w:styleId="Zkladntext3">
    <w:name w:val="Základný text 3"/>
    <w:basedOn w:val="Normal"/>
    <w:qFormat/>
    <w:pPr>
      <w:spacing w:lineRule="atLeast" w:line="240"/>
    </w:pPr>
    <w:rPr>
      <w:color w:val="000000"/>
      <w:sz w:val="16"/>
    </w:rPr>
  </w:style>
  <w:style w:type="paragraph" w:styleId="normal3">
    <w:name w:val="normal3"/>
    <w:basedOn w:val="Normal"/>
    <w:qFormat/>
    <w:pPr>
      <w:ind w:hanging="170" w:start="170" w:end="0"/>
    </w:pPr>
    <w:rPr>
      <w:rFonts w:ascii="Times New Roman" w:hAnsi="Times New Roman" w:cs="Times New Roman"/>
    </w:rPr>
  </w:style>
  <w:style w:type="paragraph" w:styleId="02Odsadentext">
    <w:name w:val="02 Odsadený text"/>
    <w:qFormat/>
    <w:pPr>
      <w:widowControl/>
      <w:bidi w:val="0"/>
      <w:spacing w:before="60" w:after="0"/>
      <w:ind w:firstLine="680" w:start="0" w:end="0"/>
      <w:jc w:val="both"/>
    </w:pPr>
    <w:rPr>
      <w:rFonts w:ascii="ZapfCalligr AT;Times New Roman" w:hAnsi="ZapfCalligr AT;Times New Roman" w:eastAsia="Times New Roman" w:cs="ZapfCalligr AT;Times New Roman"/>
      <w:color w:val="auto"/>
      <w:sz w:val="20"/>
      <w:szCs w:val="20"/>
      <w:lang w:val="sk-SK" w:bidi="ar-SA" w:eastAsia="zh-CN"/>
    </w:rPr>
  </w:style>
  <w:style w:type="paragraph" w:styleId="BodyTextIndent">
    <w:name w:val="Body Text Indent"/>
    <w:basedOn w:val="Normal"/>
    <w:pPr>
      <w:tabs>
        <w:tab w:val="clear" w:pos="708"/>
        <w:tab w:val="left" w:pos="23" w:leader="none"/>
        <w:tab w:val="left" w:pos="743" w:leader="none"/>
        <w:tab w:val="left" w:pos="1463" w:leader="none"/>
        <w:tab w:val="left" w:pos="2183" w:leader="none"/>
        <w:tab w:val="left" w:pos="2903" w:leader="none"/>
        <w:tab w:val="left" w:pos="3623" w:leader="none"/>
        <w:tab w:val="left" w:pos="4343" w:leader="none"/>
      </w:tabs>
      <w:spacing w:lineRule="atLeast" w:line="240"/>
      <w:ind w:hanging="0" w:start="23" w:end="0"/>
      <w:jc w:val="both"/>
    </w:pPr>
    <w:rPr>
      <w:rFonts w:ascii="Arial Narrow" w:hAnsi="Arial Narrow" w:cs="Arial Narrow"/>
      <w:color w:val="000000"/>
      <w:spacing w:val="-4"/>
    </w:rPr>
  </w:style>
  <w:style w:type="paragraph" w:styleId="FootStyle2">
    <w:name w:val="Foot Style 2"/>
    <w:basedOn w:val="Footer"/>
    <w:qFormat/>
    <w:pPr>
      <w:tabs>
        <w:tab w:val="clear" w:pos="4536"/>
        <w:tab w:val="clear" w:pos="9072"/>
        <w:tab w:val="left" w:pos="1985" w:leader="none"/>
        <w:tab w:val="right" w:pos="8306" w:leader="none"/>
      </w:tabs>
      <w:spacing w:lineRule="atLeast" w:line="240" w:before="240" w:after="0"/>
    </w:pPr>
    <w:rPr>
      <w:b/>
      <w:sz w:val="24"/>
      <w:lang w:val="en-US"/>
    </w:rPr>
  </w:style>
  <w:style w:type="paragraph" w:styleId="TOC5">
    <w:name w:val="TOC 5"/>
    <w:basedOn w:val="Normal"/>
    <w:next w:val="Normal"/>
    <w:pPr>
      <w:ind w:hanging="0" w:start="600" w:end="0"/>
    </w:pPr>
    <w:rPr>
      <w:rFonts w:ascii="Times New Roman" w:hAnsi="Times New Roman" w:cs="Times New Roman"/>
    </w:rPr>
  </w:style>
  <w:style w:type="paragraph" w:styleId="TOC6">
    <w:name w:val="TOC 6"/>
    <w:basedOn w:val="Normal"/>
    <w:next w:val="Normal"/>
    <w:pPr>
      <w:ind w:hanging="0" w:start="800" w:end="0"/>
    </w:pPr>
    <w:rPr>
      <w:rFonts w:ascii="Times New Roman" w:hAnsi="Times New Roman" w:cs="Times New Roman"/>
    </w:rPr>
  </w:style>
  <w:style w:type="paragraph" w:styleId="TOC7">
    <w:name w:val="TOC 7"/>
    <w:basedOn w:val="Normal"/>
    <w:next w:val="Normal"/>
    <w:pPr>
      <w:ind w:hanging="0" w:start="1000" w:end="0"/>
    </w:pPr>
    <w:rPr>
      <w:rFonts w:ascii="Times New Roman" w:hAnsi="Times New Roman" w:cs="Times New Roman"/>
    </w:rPr>
  </w:style>
  <w:style w:type="paragraph" w:styleId="TOC8">
    <w:name w:val="TOC 8"/>
    <w:basedOn w:val="Normal"/>
    <w:next w:val="Normal"/>
    <w:pPr>
      <w:ind w:hanging="0" w:start="1200" w:end="0"/>
    </w:pPr>
    <w:rPr>
      <w:rFonts w:ascii="Times New Roman" w:hAnsi="Times New Roman" w:cs="Times New Roman"/>
    </w:rPr>
  </w:style>
  <w:style w:type="paragraph" w:styleId="TOC9">
    <w:name w:val="TOC 9"/>
    <w:basedOn w:val="Normal"/>
    <w:next w:val="Normal"/>
    <w:pPr>
      <w:ind w:hanging="0" w:start="1400" w:end="0"/>
    </w:pPr>
    <w:rPr>
      <w:rFonts w:ascii="Times New Roman" w:hAnsi="Times New Roman" w:cs="Times New Roman"/>
    </w:rPr>
  </w:style>
  <w:style w:type="paragraph" w:styleId="Obyajntext">
    <w:name w:val="Obyčajný text"/>
    <w:basedOn w:val="Normal"/>
    <w:qFormat/>
    <w:pPr/>
    <w:rPr>
      <w:rFonts w:ascii="Courier New" w:hAnsi="Courier New" w:cs="Courier New"/>
    </w:rPr>
  </w:style>
  <w:style w:type="paragraph" w:styleId="Normal1">
    <w:name w:val="Normal1"/>
    <w:basedOn w:val="Normal"/>
    <w:qFormat/>
    <w:pPr>
      <w:suppressAutoHyphens w:val="true"/>
      <w:spacing w:lineRule="auto" w:line="228"/>
    </w:pPr>
    <w:rPr>
      <w:rFonts w:ascii="Times New Roman" w:hAnsi="Times New Roman" w:cs="Times New Roman"/>
    </w:rPr>
  </w:style>
  <w:style w:type="paragraph" w:styleId="Textbubliny">
    <w:name w:val="Text bubliny"/>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_rels/header1.xml.rels><?xml version="1.0" encoding="UTF-8"?><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2026-05-26T12:11:00Z</dcterms:created>
  <dc:creator>j.skoupý</dc:creator>
  <dc:description/>
  <cp:keywords/>
  <dc:language>en-US</dc:language>
  <cp:lastModifiedBy>Vincze Lukáš MUDr.</cp:lastModifiedBy>
  <cp:lastPrinted>2008-02-05T11:47:00Z</cp:lastPrinted>
  <dcterms:modified xsi:type="dcterms:W3CDTF">2026-05-26T12:11:00Z</dcterms:modified>
  <cp:revision>2</cp:revision>
  <dc:subject/>
  <dc:title/>
</cp:coreProperties>
</file>