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Meno pacienta: </w:t>
      </w:r>
      <w:r>
        <w:rPr>
          <w:sz w:val="22"/>
          <w:szCs w:val="22"/>
        </w:rPr>
        <w:t xml:space="preserve">_______________________________   </w:t>
      </w:r>
      <w:r>
        <w:rPr>
          <w:b/>
          <w:sz w:val="22"/>
          <w:szCs w:val="22"/>
        </w:rPr>
        <w:t xml:space="preserve">Rodné číslo: </w:t>
      </w:r>
      <w:r>
        <w:rPr>
          <w:sz w:val="22"/>
          <w:szCs w:val="22"/>
        </w:rPr>
        <w:t xml:space="preserve">______________________</w:t>
      </w:r>
    </w:p>
    <w:p>
      <w:pPr>
        <w:pStyle w:val="Normal"/>
        <w:spacing w:before="0" w:after="160"/>
        <w:jc w:val="both"/>
      </w:pPr>
      <w:r>
        <w:rPr>
          <w:b/>
          <w:sz w:val="22"/>
          <w:szCs w:val="22"/>
        </w:rPr>
        <w:t xml:space="preserve">Ošetrujúci lekár: </w:t>
      </w:r>
      <w:r>
        <w:rPr>
          <w:sz w:val="22"/>
          <w:szCs w:val="22"/>
        </w:rPr>
        <w:t xml:space="preserve">____________________________   </w:t>
      </w:r>
      <w:r>
        <w:rPr>
          <w:b/>
          <w:sz w:val="22"/>
          <w:szCs w:val="22"/>
        </w:rPr>
        <w:t xml:space="preserve">Dátum: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Diagnóza a dôvod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Vás bola diagnostikovaná stenóza (zúženie) alebo trombóza arteriovenóznej (AV) fistuly alebo AV graftu, ktorý slúži ako cievny prístup pre hemodialýzu. Stenóza vedie k nedostatočnému prietoku počas dialýzy a hrozí uzáverom fistuly. Endovaskulárna liečba – balónková angioplastika (± stenting) – je metódou voľby na zachovanie funkčnosti cievneho prístupu.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Popis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Výkon sa vykonáva v lokálnej anestézii. Cez vpich priamo do fistuly alebo cez femorálny prístup sa pod röntgenovou kontrolou zavediee vodič do miesta stenózy. Balónkový katéter sa nafúkne na vysoký tlak (cca 20–30 atm) v mieste stenózy na jej rozšírenie. Pri suboptimálnom výsledku alebo disekcii sa zavedie stent. Pri trombóze fistuly sa použije farmakomechanická trombektómia. Výkon trvá 30–90 minút.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Očakávané prínosy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Zachovanie funkčnosti existujúceho cievneho prístupu pre hemodialýzu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Obnovenie adekvátneho prietoku a efektívnosti dialýzy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Odloženie nutnosti zavádzania nového cievneho prístupu alebo centrálneho venózneho katétra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Minimálne invazívny výkon s rýchlym zotavením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Riziká a možné komplikácie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Ako pri každom invazívnom výkone, aj tento zákrok nesie riziká. Medzi najdôležitejšie patria:</w:t>
      </w:r>
    </w:p>
    <w:p>
      <w:pPr>
        <w:pStyle w:val="Normal"/>
        <w:spacing w:before="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Časté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Krvácanie alebo hematóm v mieste vpichu do fistuly (cca 5–10 %)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Trombóza fistuly bezprostredne po výkone (cca 3–8 %)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Bolesť alebo pálenie pri nafukovaní balónka na vysoký tlak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Menej časté, ale závažné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Ruptura fistuly alebo AV graftu pri nafukovaní balónka (cca 1–3 %)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Trombóza a trvalý uzáver fistuly vyžadujúci vytvorenie nového prístupu (cca 5–15 %)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Infekcia v mieste prístupu alebo sepsa (cca 0,5–1 %)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Embolizácia do pľúcneho riečiska (vzácne pri trombektómii)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Poranenie priľahlých nervov alebo tkanív (vzácne)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Komplikácie špecifické pre tento výkon: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Vysoká miera recidívy stenózy (restenóza) do 6–12 mesiacov – cca 40–60 %, vyžaduje opakovanú intervenciu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In-stent restenóza pri zavedení stentu (cca 30–40 % do 12 mesiacov)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Steal syndróm – príznaky ischémie ruky pri nadmernom odbere krvi fistulou (vzácne)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Alternatívne možnosti liečby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Konzervatívna liečba: </w:t>
      </w:r>
      <w:r>
        <w:rPr>
          <w:sz w:val="22"/>
          <w:szCs w:val="22"/>
        </w:rPr>
        <w:t xml:space="preserve">Konzervatívne sledovanie s pravidelným hodnotením prietoku fistuly (duplexný ultrazvuk) a optimalizáciou dialyzačného režimu; nie je liečbou stenózy, len monitoringom.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Alternatívny výkon: </w:t>
      </w:r>
      <w:r>
        <w:rPr>
          <w:sz w:val="22"/>
          <w:szCs w:val="22"/>
        </w:rPr>
        <w:t xml:space="preserve">Chirurgická revízia fistuly – patchová plastika alebo nová anastomóza; dlhodobejšia priechodnosť pri niektorých typoch stenóz, ale väčšia záťaž pre pacienta.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Odmietnutie liečby: </w:t>
      </w:r>
      <w:r>
        <w:rPr>
          <w:sz w:val="22"/>
          <w:szCs w:val="22"/>
        </w:rPr>
        <w:t xml:space="preserve">Bez liečby hrozí trvalý uzáver fistuly, strata cievneho prístupu a nutnosť centrálneho venózneho katétra (CŽK), čo je spojené s vyšším rizikom infekcie a sepsy.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Pooperačný priebeh a sledovanie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Ambulantný výkon alebo krátkodobá hospitalizácia 1–2 dni; fistula sa kontroluje ihneď po výkone.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Antiagregačná liečba (kyselina acetylsalicylová ± klopidogrel) individuálne; antikoagulácia pri trombóze.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Kontrolný duplexný ultrazvuk fistuly po 1 mesiaci a pred každou dialýzou.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Pokračovanie v hemodialýze cez funkčnú fistulu od ďalšieho dialyzačného sedenia.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Informácie o kontrastnej (röntgenovej) látke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zobrazenie ciev počas výkonu je nevyhnutné podanie jódovej kontrastnej látky priamo do tepien.</w:t>
      </w:r>
    </w:p>
    <w:p>
      <w:pPr>
        <w:pStyle w:val="Normal"/>
        <w:spacing w:before="80" w:after="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Prosím, informujte svojho lekára, ak: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 niekedy mali alergickú reakciu na kontrastnú látku.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Trpíte astmou alebo závažnými alergiami.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obličiek alebo cukrovku.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Užívate metformín (napr. Glucophage, Siofor).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štítnej žľazy.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závažné srdcové ochorenie.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Riziká spojené s podaním kontrastnej látky: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Alergické reakcie: </w:t>
      </w:r>
      <w:r>
        <w:rPr>
          <w:sz w:val="22"/>
          <w:szCs w:val="22"/>
        </w:rPr>
        <w:t xml:space="preserve">Mierne reakcie (žihľavka, svrbenie, nevoľnosť) sa vyskytujú u cca 0,6 % pacientov. Závažné reakcie (ťažkosti s dýchaním, pokles tlaku) sú vzácne (0,04 %), ale môžu byť život ohrozujúce. Pri predchádzajúcej reakcii na kontrastnú látku je riziko cca 5× vyššie – v takom prípade budú podané ochranné lieky, ktoré riziko znižujú, ale nemôžu ho úplne vylúčiť.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Poškodenie obličiek: </w:t>
      </w:r>
      <w:r>
        <w:rPr>
          <w:sz w:val="22"/>
          <w:szCs w:val="22"/>
        </w:rPr>
        <w:t xml:space="preserve">Vyskytuje sa u cca 2,6 % pacientov po tomto type výkonu. Prejavuje sa zhoršením funkcie obličiek, vzácne môže byť potrebná dočasná dialýza. Riziko je vyššie u pacientov s existujúcim ochorením obličiek, cukrovkou a vyšším vekom.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Vplyv na štítnu žľazu: </w:t>
      </w:r>
      <w:r>
        <w:rPr>
          <w:sz w:val="22"/>
          <w:szCs w:val="22"/>
        </w:rPr>
        <w:t xml:space="preserve">U predisponovaných jedincov môže jód vzácne vyvolať poruchu funkcie štítnej žľazy.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Ochranné opatrenia: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Pred výkonom bude vyšetrená funkcia obličiek.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Budete dostatočne hydratovaný/á (tekutiny do žily).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Ak užívate metformín a máte zníženú funkciu obličiek, bude dočasne vysadený.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Množstvo kontrastnej látky bude minimalizované.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Funkcia obličiek bude kontrolovaná 48–72 hodín po výkone.</w:t>
      </w:r>
    </w:p>
    <w:p>
      <w:pPr>
        <w:spacing w:after="80"/>
      </w:pPr>
    </w:p>
    <w:p>
      <w:pPr>
        <w:spacing w:after="16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pacienta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Vlastnoručným podpisom tohto dokumentu potvrdzujem, že: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zrozumiteľne informovaný/á o povahe, účele, priebehu a predpokladanom trvaní navrhovaného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možných rizikách, komplikáciách a nežiaducich účinkoch vrátane zriedkavých a závažných.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alternatívnych možnostiach liečby a o dôsledkoch odmietnutia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pooperačnom režime vrátane potreby dlhodobej antikoagulačnej liečby a pravidelného sledovania.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Rozumiem, že počas výkonu môže byť na základe aktuálneho nálezu rozhodnuté o zavedení cudzieho materiálu, a s týmto postupom súhlasím.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dostatočný čas si tento informovaný súhlas prečítať, porozumieť jeho obsahu a slobodne sa rozhodnúť.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možnosť klásť otázky a všetky moje otázky boli zodpovedané.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Súhlasím s podaním kontrastnej látky, trombolytika a ďalších liekov potrebných na vykonanie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Tento súhlas udeľujem dobrovoľne, bez nátlaku, a som si vedomý/á, že ho môžem kedykoľvek pred začiatkom výkonu odvolať.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rizikách spojených s podaním jódovej kontrastnej látky vrátane alergickej reakcie, poškodenia obličiek a vplyvu na štítnu žľazu. Informoval/a som lekára o všetkých svojich alergiách, ochoreniach obličiek, cukrovke, ochoreniach štítnej žľazy a užívaných liekoch.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potrebe vysadenia metformínu (ak ho užívam) a ďalších liekov pred výkonom podľa pokynov lekára.</w:t>
      </w:r>
    </w:p>
    <w:p>
      <w:pPr>
        <w:spacing w:after="120"/>
      </w:pPr>
    </w:p>
    <w:p>
      <w:pPr>
        <w:pStyle w:val="Normal"/>
        <w:spacing w:before="0" w:after="200"/>
        <w:jc w:val="both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Na základe vyššie uvedených informácií slobodne a dobrovoľne súhlasím s vykonaním navrhovaného výkonu.</w:t>
      </w:r>
    </w:p>
    <w:p>
      <w:pPr>
        <w:pStyle w:val="Normal"/>
        <w:spacing w:before="360" w:after="80"/>
      </w:pPr>
      <w:r>
        <w:rPr>
          <w:b/>
          <w:sz w:val="22"/>
        </w:rPr>
        <w:t xml:space="preserve">Podpis pacienta: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zákonného zástupcu (ak relevantné):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p>
      <w:pPr>
        <w:spacing w:after="20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lekára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Potvrdzujem, že som pacientovi/pacientke poskytol/la úplné a zrozumiteľné informácie o navrhovanom výkone, jeho rizikách, prínosoch a alternatívach v zmysle §6 zákona č. 576/2004 Z.z. Pacient/ka mal/a dostatočný čas na zváženie informácií a kladenie otázok. Podľa môjho najlepšieho vedomia má pacient/ka kapacitu pochopiť poskytnuté informácie a urobiť slobodné informované rozhodnutie.</w:t>
      </w:r>
    </w:p>
    <w:p>
      <w:pPr>
        <w:spacing w:after="200"/>
      </w:pPr>
    </w:p>
    <w:p>
      <w:pPr>
        <w:pStyle w:val="Normal"/>
        <w:spacing w:before="360" w:after="80"/>
      </w:pPr>
      <w:r>
        <w:rPr>
          <w:b/>
          <w:sz w:val="22"/>
        </w:rPr>
        <w:t xml:space="preserve">Podpis lekára: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svedka: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sectPr>
      <w:headerReference w:type="default" r:id="rId2"/>
      <w:type w:val="nextPage"/>
      <w:pgSz w:w="11906" w:h="16838"/>
      <w:pgMar w:left="851" w:right="851" w:gutter="0" w:header="420" w:top="47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ZapfCalligr AT">
    <w:altName w:val="Times New Roman"/>
    <w:charset w:val="00" w:characterSet="windows-1252"/>
    <w:family w:val="auto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851"/>
      <w:gridCol w:w="2410"/>
      <w:gridCol w:w="7371"/>
    </w:tblGrid>
    <w:tr>
      <w:trPr/>
      <w:tc>
        <w:tcPr>
          <w:tcW w:w="3261" w:type="dxa"/>
          <w:gridSpan w:val="2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 xml:space="preserve">Strana 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PAGE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t>/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NUMPAGES \* ARABIC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</w:p>
      </w:tc>
      <w:tc>
        <w:tcPr>
          <w:tcW w:w="7371" w:type="dxa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>Platnosť od : 01.08.2026                                                                                                                                          F. 103a.4</w:t>
          </w:r>
        </w:p>
      </w:tc>
    </w:tr>
    <w:tr>
      <w:trPr>
        <w:trHeight w:val="1110" w:hRule="atLeast"/>
        <w:cantSplit w:val="true"/>
      </w:trPr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60" w:after="60"/>
            <w:ind w:hanging="0" w:start="0"/>
            <w:jc w:val="center"/>
            <w:rPr>
              <w:sz w:val="16"/>
            </w:rPr>
          </w:pPr>
          <w:r>
            <w:rPr/>
            <w:drawing>
              <wp:inline distT="0" distB="0" distL="0" distR="0">
                <wp:extent cx="461645" cy="61912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2" r="-16" b="-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64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120" w:after="0"/>
            <w:ind w:hanging="0" w:start="0"/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737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D8D8D8" w:val="clear"/>
        </w:tcPr>
        <w:p>
          <w:pPr>
            <w:pStyle w:val="Normal"/>
            <w:keepNext w:val="true"/>
            <w:keepLines/>
            <w:spacing w:before="360" w:after="240"/>
            <w:ind w:start="40" w:end="40"/>
            <w:jc w:val="center"/>
            <w:rPr>
              <w:b/>
              <w:color w:val="000000"/>
              <w:sz w:val="24"/>
            </w:rPr>
          </w:pPr>
          <w:r>
            <w:rPr>
              <w:b/>
              <w:caps/>
              <w:sz w:val="24"/>
              <w:szCs w:val="24"/>
            </w:rPr>
            <w:t>INFORMOVANÝ SÚHLAS PACIENTA – ENDOVASKULÁRNE OŠETRENIE STENÓZY AV FISTULY</w:t>
          </w:r>
        </w:p>
        <w:p>
          <w:pPr>
            <w:pStyle w:val="Normal"/>
            <w:spacing w:before="0" w:after="140"/>
            <w:ind w:start="40" w:end="40"/>
            <w:jc w:val="center"/>
          </w:pPr>
          <w:r>
            <w:rPr>
              <w:i/>
              <w:color w:val="333333"/>
              <w:sz w:val="16"/>
              <w:szCs w:val="16"/>
            </w:rPr>
            <w:t>Poučenie podľa §6 zákona č. 576/2004 Z.z. o zdravotnej starostlivosti, službách súvisiacich s poskytovaním zdravotnej starostlivosti a o zmene a doplnení niektorých zákonov (plánovaný výkon – zrozumiteľne laicky)</w:t>
          </w:r>
        </w:p>
      </w:tc>
    </w:tr>
  </w:tbl>
  <w:p>
    <w:pPr>
      <w:pStyle w:val="Header"/>
      <w:rPr>
        <w:sz w:val="4"/>
        <w:lang w:val="sk-SK"/>
      </w:rPr>
    </w:pPr>
    <w:r>
      <w:rPr>
        <w:sz w:val="4"/>
        <w:lang w:val="sk-SK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705"/>
        </w:tabs>
        <w:ind w:start="705" w:hanging="705"/>
      </w:pPr>
      <w:rPr>
        <w:caps/>
        <w:outline w:val="false"/>
        <w:dstrike w:val="false"/>
        <w:strike w:val="false"/>
        <w:vertAlign w:val="baseline"/>
        <w:position w:val="0"/>
        <w:sz w:val="24"/>
        <w:shadow w:val="false"/>
        <w:vanish w:val="false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suff w:val="space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bullet"/>
      <w:lvlText w:val="•"/>
      <w:lvlJc w:val="start"/>
      <w:pPr>
        <w:ind w:star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sk-SK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60"/>
      <w:outlineLvl w:val="0"/>
    </w:pPr>
    <w:rPr>
      <w:b/>
      <w:caps/>
      <w:kern w:val="2"/>
      <w:sz w:val="24"/>
      <w:lang w:val="cs-CZ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0"/>
      <w:outlineLvl w:val="3"/>
    </w:pPr>
    <w:rPr>
      <w:sz w:val="2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styleId="WW8Num3z0">
    <w:name w:val="WW8Num3z0"/>
    <w:qFormat/>
    <w:rPr>
      <w:caps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3z1">
    <w:name w:val="WW8Num3z1"/>
    <w:qFormat/>
    <w:rPr/>
  </w:style>
  <w:style w:type="character" w:styleId="Predvolenpsmoodseku">
    <w:name w:val="Predvolené písmo odseku"/>
    <w:qFormat/>
    <w:rPr/>
  </w:style>
  <w:style w:type="character" w:styleId="PageNumber">
    <w:name w:val="Page Number"/>
    <w:basedOn w:val="Predvolenpsmoodseku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color w:val="000000"/>
      <w:sz w:val="18"/>
      <w:lang w:val="cs-CZ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Popis">
    <w:name w:val="Popis"/>
    <w:basedOn w:val="Normal"/>
    <w:qFormat/>
    <w:pPr/>
    <w:rPr>
      <w:b/>
      <w:lang w:val="cs-CZ"/>
    </w:rPr>
  </w:style>
  <w:style w:type="paragraph" w:styleId="TOC1">
    <w:name w:val="TOC 1"/>
    <w:next w:val="Normal"/>
    <w:pPr>
      <w:widowControl/>
      <w:bidi w:val="0"/>
      <w:spacing w:before="60" w:after="0"/>
    </w:pPr>
    <w:rPr>
      <w:rFonts w:ascii="Arial" w:hAnsi="Arial" w:eastAsia="Times New Roman" w:cs="Arial"/>
      <w:caps/>
      <w:color w:val="auto"/>
      <w:sz w:val="22"/>
      <w:szCs w:val="20"/>
      <w:lang w:val="sk-SK" w:bidi="ar-SA" w:eastAsia="zh-CN"/>
    </w:rPr>
  </w:style>
  <w:style w:type="paragraph" w:styleId="TOC3">
    <w:name w:val="TOC 3"/>
    <w:next w:val="Normal"/>
    <w:pPr>
      <w:widowControl/>
      <w:bidi w:val="0"/>
      <w:ind w:hanging="0" w:start="2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4">
    <w:name w:val="TOC 4"/>
    <w:next w:val="Normal"/>
    <w:pPr>
      <w:widowControl/>
      <w:bidi w:val="0"/>
      <w:ind w:hanging="0" w:start="4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" w:hAnsi="Times New Roman" w:cs="Times New Roman"/>
      <w:b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Zarkazkladnhotextu2">
    <w:name w:val="Zarážka základného textu 2"/>
    <w:basedOn w:val="Normal"/>
    <w:qFormat/>
    <w:pPr>
      <w:ind w:hanging="141" w:start="2268" w:end="0"/>
    </w:pPr>
    <w:rPr>
      <w:color w:val="000000"/>
      <w:lang w:val="cs-CZ"/>
    </w:rPr>
  </w:style>
  <w:style w:type="paragraph" w:styleId="Zarkazkladnhotextu3">
    <w:name w:val="Zarážka základného textu 3"/>
    <w:basedOn w:val="Normal"/>
    <w:qFormat/>
    <w:pPr>
      <w:ind w:hanging="142" w:start="426" w:end="0"/>
    </w:pPr>
    <w:rPr>
      <w:color w:val="000000"/>
    </w:rPr>
  </w:style>
  <w:style w:type="paragraph" w:styleId="Zkladntext2">
    <w:name w:val="Základný text 2"/>
    <w:basedOn w:val="Normal"/>
    <w:qFormat/>
    <w:pPr>
      <w:tabs>
        <w:tab w:val="clear" w:pos="708"/>
        <w:tab w:val="left" w:pos="990" w:leader="none"/>
      </w:tabs>
      <w:spacing w:lineRule="atLeast" w:line="240"/>
    </w:pPr>
    <w:rPr>
      <w:color w:val="000000"/>
    </w:rPr>
  </w:style>
  <w:style w:type="paragraph" w:styleId="Zkladntext3">
    <w:name w:val="Základný text 3"/>
    <w:basedOn w:val="Normal"/>
    <w:qFormat/>
    <w:pPr>
      <w:spacing w:lineRule="atLeast" w:line="240"/>
    </w:pPr>
    <w:rPr>
      <w:color w:val="000000"/>
      <w:sz w:val="16"/>
    </w:rPr>
  </w:style>
  <w:style w:type="paragraph" w:styleId="normal3">
    <w:name w:val="normal3"/>
    <w:basedOn w:val="Normal"/>
    <w:qFormat/>
    <w:pPr>
      <w:ind w:hanging="170" w:start="170" w:end="0"/>
    </w:pPr>
    <w:rPr>
      <w:rFonts w:ascii="Times New Roman" w:hAnsi="Times New Roman" w:cs="Times New Roman"/>
    </w:rPr>
  </w:style>
  <w:style w:type="paragraph" w:styleId="02Odsadentext">
    <w:name w:val="02 Odsadený text"/>
    <w:qFormat/>
    <w:pPr>
      <w:widowControl/>
      <w:bidi w:val="0"/>
      <w:spacing w:before="60" w:after="0"/>
      <w:ind w:firstLine="680" w:start="0" w:end="0"/>
      <w:jc w:val="both"/>
    </w:pPr>
    <w:rPr>
      <w:rFonts w:ascii="ZapfCalligr AT;Times New Roman" w:hAnsi="ZapfCalligr AT;Times New Roman" w:eastAsia="Times New Roman" w:cs="ZapfCalligr AT;Times New Roman"/>
      <w:color w:val="auto"/>
      <w:sz w:val="20"/>
      <w:szCs w:val="20"/>
      <w:lang w:val="sk-SK" w:bidi="ar-SA" w:eastAsia="zh-CN"/>
    </w:rPr>
  </w:style>
  <w:style w:type="paragraph" w:styleId="BodyTextIndent">
    <w:name w:val="Body Text Indent"/>
    <w:basedOn w:val="Normal"/>
    <w:pPr>
      <w:tabs>
        <w:tab w:val="clear" w:pos="708"/>
        <w:tab w:val="left" w:pos="23" w:leader="none"/>
        <w:tab w:val="left" w:pos="743" w:leader="none"/>
        <w:tab w:val="left" w:pos="1463" w:leader="none"/>
        <w:tab w:val="left" w:pos="2183" w:leader="none"/>
        <w:tab w:val="left" w:pos="2903" w:leader="none"/>
        <w:tab w:val="left" w:pos="3623" w:leader="none"/>
        <w:tab w:val="left" w:pos="4343" w:leader="none"/>
      </w:tabs>
      <w:spacing w:lineRule="atLeast" w:line="240"/>
      <w:ind w:hanging="0" w:start="23" w:end="0"/>
      <w:jc w:val="both"/>
    </w:pPr>
    <w:rPr>
      <w:rFonts w:ascii="Arial Narrow" w:hAnsi="Arial Narrow" w:cs="Arial Narrow"/>
      <w:color w:val="000000"/>
      <w:spacing w:val="-4"/>
    </w:rPr>
  </w:style>
  <w:style w:type="paragraph" w:styleId="FootStyle2">
    <w:name w:val="Foot Style 2"/>
    <w:basedOn w:val="Footer"/>
    <w:qFormat/>
    <w:pPr>
      <w:tabs>
        <w:tab w:val="clear" w:pos="4536"/>
        <w:tab w:val="clear" w:pos="9072"/>
        <w:tab w:val="left" w:pos="1985" w:leader="none"/>
        <w:tab w:val="right" w:pos="8306" w:leader="none"/>
      </w:tabs>
      <w:spacing w:lineRule="atLeast" w:line="240" w:before="240" w:after="0"/>
    </w:pPr>
    <w:rPr>
      <w:b/>
      <w:sz w:val="24"/>
      <w:lang w:val="en-US"/>
    </w:rPr>
  </w:style>
  <w:style w:type="paragraph" w:styleId="TOC5">
    <w:name w:val="TOC 5"/>
    <w:basedOn w:val="Normal"/>
    <w:next w:val="Normal"/>
    <w:pPr>
      <w:ind w:hanging="0" w:start="600" w:end="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pPr>
      <w:ind w:hanging="0" w:start="800" w:end="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pPr>
      <w:ind w:hanging="0" w:start="1000" w:end="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pPr>
      <w:ind w:hanging="0" w:start="1200" w:end="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pPr>
      <w:ind w:hanging="0" w:start="1400" w:end="0"/>
    </w:pPr>
    <w:rPr>
      <w:rFonts w:ascii="Times New Roman" w:hAnsi="Times New Roman" w:cs="Times New Roman"/>
    </w:rPr>
  </w:style>
  <w:style w:type="paragraph" w:styleId="Obyajntext">
    <w:name w:val="Obyčajný text"/>
    <w:basedOn w:val="Normal"/>
    <w:qFormat/>
    <w:pPr/>
    <w:rPr>
      <w:rFonts w:ascii="Courier New" w:hAnsi="Courier New" w:cs="Courier New"/>
    </w:rPr>
  </w:style>
  <w:style w:type="paragraph" w:styleId="Normal1">
    <w:name w:val="Normal1"/>
    <w:basedOn w:val="Normal"/>
    <w:qFormat/>
    <w:pPr>
      <w:suppressAutoHyphens w:val="true"/>
      <w:spacing w:lineRule="auto" w:line="228"/>
    </w:pPr>
    <w:rPr>
      <w:rFonts w:ascii="Times New Roman" w:hAnsi="Times New Roman" w:cs="Times New Roman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2026-05-26T12:11:00Z</dcterms:created>
  <dc:creator>j.skoupý</dc:creator>
  <dc:description/>
  <cp:keywords/>
  <dc:language>en-US</dc:language>
  <cp:lastModifiedBy>Vincze Lukáš MUDr.</cp:lastModifiedBy>
  <cp:lastPrinted>2008-02-05T11:47:00Z</cp:lastPrinted>
  <dcterms:modified xsi:type="dcterms:W3CDTF">2026-05-26T12:11:00Z</dcterms:modified>
  <cp:revision>2</cp:revision>
  <dc:subject/>
  <dc:title/>
</cp:coreProperties>
</file>