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media/image1.jpeg" ContentType="image/jpe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80"/>
        <w:jc w:val="both"/>
      </w:pPr>
      <w:r>
        <w:rPr>
          <w:b/>
          <w:sz w:val="22"/>
          <w:szCs w:val="22"/>
        </w:rPr>
        <w:t xml:space="preserve">Meno pacienta: </w:t>
      </w:r>
      <w:r>
        <w:rPr>
          <w:sz w:val="22"/>
          <w:szCs w:val="22"/>
        </w:rPr>
        <w:t xml:space="preserve">_______________________________   </w:t>
      </w:r>
      <w:r>
        <w:rPr>
          <w:b/>
          <w:sz w:val="22"/>
          <w:szCs w:val="22"/>
        </w:rPr>
        <w:t xml:space="preserve">Rodné číslo: </w:t>
      </w:r>
      <w:r>
        <w:rPr>
          <w:sz w:val="22"/>
          <w:szCs w:val="22"/>
        </w:rPr>
        <w:t xml:space="preserve">______________________</w:t>
      </w:r>
    </w:p>
    <w:p>
      <w:pPr>
        <w:pStyle w:val="Normal"/>
        <w:spacing w:before="0" w:after="160"/>
        <w:jc w:val="both"/>
      </w:pPr>
      <w:r>
        <w:rPr>
          <w:b/>
          <w:sz w:val="22"/>
          <w:szCs w:val="22"/>
        </w:rPr>
        <w:t xml:space="preserve">Ošetrujúci lekár: </w:t>
      </w:r>
      <w:r>
        <w:rPr>
          <w:sz w:val="22"/>
          <w:szCs w:val="22"/>
        </w:rPr>
        <w:t xml:space="preserve">____________________________   </w:t>
      </w:r>
      <w:r>
        <w:rPr>
          <w:b/>
          <w:sz w:val="22"/>
          <w:szCs w:val="22"/>
        </w:rPr>
        <w:t xml:space="preserve">Dátum: </w:t>
      </w:r>
      <w:r>
        <w:rPr>
          <w:sz w:val="22"/>
          <w:szCs w:val="22"/>
        </w:rPr>
        <w:t xml:space="preserve">______________________________</w:t>
      </w:r>
    </w:p>
    <w:p>
      <w:pPr>
        <w:pStyle w:val="Heading2"/>
        <w:numPr>
          <w:ilvl w:val="0"/>
          <w:numId w:val="3"/>
        </w:numPr>
        <w:spacing w:before="180" w:after="60"/>
      </w:pPr>
      <w:r>
        <w:rPr>
          <w:b/>
          <w:sz w:val="24"/>
        </w:rPr>
        <w:t xml:space="preserve">Diagnóza a dôvod výkonu</w:t>
      </w:r>
    </w:p>
    <w:p>
      <w:pPr>
        <w:pStyle w:val="Normal"/>
        <w:spacing w:before="0" w:after="12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U Vás bola diagnostikovaná aneuryzma viscerálnej tepny (rozšírenie slezinnej, hepatálnej, mezenteriálnej alebo obličkovej tepny). Napriek nízke frekvencii sú viscerálne aneuryzmy potenciálne život ohrozujúce – riziko prasknutia pri priemere &gt; 2–3 cm dosahuje 25–50 %. Endovaskulárna liečba (embolizácia, zavedenie stentu s krytím, flow-diverter) je navrhovaná ako minimálne invazívna alternatíva chirurgickej operácie.</w:t>
      </w:r>
    </w:p>
    <w:p>
      <w:pPr>
        <w:pStyle w:val="Heading2"/>
        <w:numPr>
          <w:ilvl w:val="0"/>
          <w:numId w:val="3"/>
        </w:numPr>
        <w:spacing w:before="180" w:after="60"/>
      </w:pPr>
      <w:r>
        <w:rPr>
          <w:b/>
          <w:sz w:val="24"/>
        </w:rPr>
        <w:t xml:space="preserve">Popis výkonu</w:t>
      </w:r>
    </w:p>
    <w:p>
      <w:pPr>
        <w:pStyle w:val="Normal"/>
        <w:spacing w:before="0" w:after="12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Výkon sa vykonáva v lokálnej alebo celkovej anestézii na angiografickom pracovisku. Cez vpich do femorálnej tepny sa pod röntgenovou kontrolou katéter naviguje do príslušnej viscerálnej tepny. V závislosti od anatomie a typu aneuryzmy sa použije: embolizácia aneuryzmového vaku kovovými špirálami (coils) alebo tekutými embolizačnými prípravkami; zavedenie stentu s textilným krytím (stentgraft) cez krčok aneuryzmy; alebo obkľúčenie aneuryzmy (packing). Výkon trvá 60–150 minút.</w:t>
      </w:r>
    </w:p>
    <w:p>
      <w:pPr>
        <w:pStyle w:val="Heading2"/>
        <w:numPr>
          <w:ilvl w:val="0"/>
          <w:numId w:val="3"/>
        </w:numPr>
        <w:spacing w:before="180" w:after="60"/>
      </w:pPr>
      <w:r>
        <w:rPr>
          <w:b/>
          <w:sz w:val="24"/>
        </w:rPr>
        <w:t xml:space="preserve">Očakávané prínosy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Vylúčenie rizika prasknutia a smrteľného vnútrobrušného krvácania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Menej invazívny prístup ako otvorená chirurgická operácia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Zachovanie prietoku do cieľového orgánu pri použití stentgraftu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Kratšia hospitalizácia a rýchlejšie zotavenie</w:t>
      </w:r>
    </w:p>
    <w:p>
      <w:pPr>
        <w:spacing w:after="80"/>
      </w:pPr>
    </w:p>
    <w:p>
      <w:pPr>
        <w:pStyle w:val="Heading2"/>
        <w:numPr>
          <w:ilvl w:val="0"/>
          <w:numId w:val="3"/>
        </w:numPr>
        <w:spacing w:before="180" w:after="60"/>
      </w:pPr>
      <w:r>
        <w:rPr>
          <w:b/>
          <w:sz w:val="24"/>
        </w:rPr>
        <w:t xml:space="preserve">Riziká a možné komplikácie</w:t>
      </w:r>
    </w:p>
    <w:p>
      <w:pPr>
        <w:pStyle w:val="Normal"/>
        <w:spacing w:before="0" w:after="12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Ako pri každom invazívnom výkone, aj tento zákrok nesie riziká. Medzi najdôležitejšie patria:</w:t>
      </w:r>
    </w:p>
    <w:p>
      <w:pPr>
        <w:pStyle w:val="Normal"/>
        <w:spacing w:before="0" w:after="60"/>
        <w:jc w:val="left"/>
        <w:rPr>
          <w:sz w:val="22"/>
          <w:szCs w:val="22"/>
          <w:b/>
        </w:rPr>
      </w:pPr>
      <w:r>
        <w:rPr>
          <w:sz w:val="22"/>
          <w:szCs w:val="22"/>
          <w:b/>
        </w:rPr>
        <w:t xml:space="preserve">Časté komplikácie: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Hematóm alebo krvácanie v mieste vpichu (cca 2–4 %)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Postembolizačný syndróm – bolesť brucha, horúčka po embolizácii (cca 10–20 %)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Bolesť v oblasti ošetrenej tepny v prvých dňoch</w:t>
      </w:r>
    </w:p>
    <w:p>
      <w:pPr>
        <w:pStyle w:val="Normal"/>
        <w:spacing w:before="100" w:after="60"/>
        <w:jc w:val="left"/>
        <w:rPr>
          <w:sz w:val="22"/>
          <w:szCs w:val="22"/>
          <w:b/>
        </w:rPr>
      </w:pPr>
      <w:r>
        <w:rPr>
          <w:sz w:val="22"/>
          <w:szCs w:val="22"/>
          <w:b/>
        </w:rPr>
        <w:t xml:space="preserve">Menej časté, ale závažné komplikácie: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Infarkt zásobeného orgánu – slezinný, hepatálny alebo renálny infarkt (cca 5–20 % závisí od techniky)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Rekanalizácia (obnovenie prietoku do vaku) s rizikom rastu alebo prasknutia (cca 5–10 %)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Poranenie cievy – disekcia alebo perforácia viscerálnej tepny (cca 1–3 %)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Poškodenie obličiek kontrastnou látkou (cca 3–5 %)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Infekcia embolizovaného orgánu – absces (cca 1–2 %)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Smrť – vzácne, cca 0,5–1 % pri plánovaných výkonoch</w:t>
      </w:r>
    </w:p>
    <w:p>
      <w:pPr>
        <w:pStyle w:val="Normal"/>
        <w:spacing w:before="100" w:after="60"/>
        <w:jc w:val="left"/>
        <w:rPr>
          <w:sz w:val="22"/>
          <w:szCs w:val="22"/>
          <w:b/>
        </w:rPr>
      </w:pPr>
      <w:r>
        <w:rPr>
          <w:sz w:val="22"/>
          <w:szCs w:val="22"/>
          <w:b/>
        </w:rPr>
        <w:t xml:space="preserve">Komplikácie špecifické pre tento výkon: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Endoleak – pretrvávajúci prietok do aneuryzmového vaku po embolizácii (cca 5–10 %) s nutnosťou reintervencie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Migrácia coilov do nesprávnej polohy (vzácne)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Oklúzia nosičskej tepny pri technicky ťažkej anatomii</w:t>
      </w:r>
    </w:p>
    <w:p>
      <w:pPr>
        <w:spacing w:after="80"/>
      </w:pPr>
    </w:p>
    <w:p>
      <w:pPr>
        <w:pStyle w:val="Heading2"/>
        <w:numPr>
          <w:ilvl w:val="0"/>
          <w:numId w:val="3"/>
        </w:numPr>
        <w:spacing w:before="180" w:after="60"/>
      </w:pPr>
      <w:r>
        <w:rPr>
          <w:b/>
          <w:sz w:val="24"/>
        </w:rPr>
        <w:t xml:space="preserve">Alternatívne možnosti liečby</w:t>
      </w:r>
    </w:p>
    <w:p>
      <w:pPr>
        <w:pStyle w:val="Normal"/>
        <w:spacing w:before="0" w:after="80"/>
        <w:jc w:val="both"/>
      </w:pPr>
      <w:r>
        <w:rPr>
          <w:b/>
          <w:sz w:val="22"/>
          <w:szCs w:val="22"/>
        </w:rPr>
        <w:t xml:space="preserve">Konzervatívna liečba: </w:t>
      </w:r>
      <w:r>
        <w:rPr>
          <w:sz w:val="22"/>
          <w:szCs w:val="22"/>
        </w:rPr>
        <w:t xml:space="preserve">Pravidelné sledovanie malých aneuryziem (&lt; 2 cm) pomocou CT alebo ultrazvuku každých 6–12 mesiacov; vhodné pri nízkorizikovej anatomii. Medikamentózna liečba (kontrola hypertenzie) redukuje riziko rastu.</w:t>
      </w:r>
    </w:p>
    <w:p>
      <w:pPr>
        <w:pStyle w:val="Normal"/>
        <w:spacing w:before="0" w:after="80"/>
        <w:jc w:val="both"/>
      </w:pPr>
      <w:r>
        <w:rPr>
          <w:b/>
          <w:sz w:val="22"/>
          <w:szCs w:val="22"/>
        </w:rPr>
        <w:t xml:space="preserve">Alternatívny výkon: </w:t>
      </w:r>
      <w:r>
        <w:rPr>
          <w:sz w:val="22"/>
          <w:szCs w:val="22"/>
        </w:rPr>
        <w:t xml:space="preserve">Otvorená chirurgická oprava – resekcia alebo rekonštrukcia postihnutej tepny. Poskytuje trvalé riešenie, ale je spojená s väčšou operačnou záťažou a dlhšou hospitalizáciou.</w:t>
      </w:r>
    </w:p>
    <w:p>
      <w:pPr>
        <w:pStyle w:val="Normal"/>
        <w:spacing w:before="0" w:after="80"/>
        <w:jc w:val="both"/>
      </w:pPr>
      <w:r>
        <w:rPr>
          <w:b/>
          <w:sz w:val="22"/>
          <w:szCs w:val="22"/>
        </w:rPr>
        <w:t xml:space="preserve">Odmietnutie liečby: </w:t>
      </w:r>
      <w:r>
        <w:rPr>
          <w:sz w:val="22"/>
          <w:szCs w:val="22"/>
        </w:rPr>
        <w:t xml:space="preserve">Bez liečby ročné riziko prasknutia symptomatickej alebo rastúcej aneuryzmy dosahuje 25–50 %. Prasknutie viscerálnej aneuryzmy je spojené s mortalitou 25–70 %.</w:t>
      </w:r>
    </w:p>
    <w:p>
      <w:pPr>
        <w:pStyle w:val="Heading2"/>
        <w:numPr>
          <w:ilvl w:val="0"/>
          <w:numId w:val="3"/>
        </w:numPr>
        <w:spacing w:before="180" w:after="60"/>
      </w:pPr>
      <w:r>
        <w:rPr>
          <w:b/>
          <w:sz w:val="24"/>
        </w:rPr>
        <w:t xml:space="preserve">Pooperačný priebeh a sledovanie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Hospitalizácia 1–3 dni; monitorovanie bolestivosti brucha a laboratórií (enzýmy, obličky).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Analgetická liečba pri postembolizačnom syndróme; antibiotiká pri riziku infekcie.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Kontrolné CT brucha po 1 a 6 mesiacoch na overenie kompletnej oklúzie aneuryzmy.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Ročné zobrazovanie na dlhodobé sledovanie stability.</w:t>
      </w:r>
    </w:p>
    <w:p>
      <w:pPr>
        <w:spacing w:after="80"/>
      </w:pPr>
    </w:p>
    <w:p>
      <w:pPr>
        <w:pStyle w:val="Heading2"/>
        <w:numPr>
          <w:ilvl w:val="0"/>
          <w:numId w:val="3"/>
        </w:numPr>
        <w:spacing w:before="180" w:after="60"/>
      </w:pPr>
      <w:r>
        <w:rPr>
          <w:b/>
          <w:sz w:val="24"/>
        </w:rPr>
        <w:t xml:space="preserve">Informácie o kontrastnej (röntgenovej) látke</w:t>
      </w:r>
    </w:p>
    <w:p>
      <w:pPr>
        <w:pStyle w:val="Normal"/>
        <w:spacing w:before="0" w:after="12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Na zobrazenie ciev počas výkonu je nevyhnutné podanie jódovej kontrastnej látky priamo do tepien.</w:t>
      </w:r>
    </w:p>
    <w:p>
      <w:pPr>
        <w:pStyle w:val="Normal"/>
        <w:spacing w:before="80" w:after="6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Prosím, informujte svojho lekára, ak: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Ste niekedy mali alergickú reakciu na kontrastnú látku.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Trpíte astmou alebo závažnými alergiami.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Máte ochorenie obličiek alebo cukrovku.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Užívate metformín (napr. Glucophage, Siofor).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Máte ochorenie štítnej žľazy.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Máte závažné srdcové ochorenie.</w:t>
      </w:r>
    </w:p>
    <w:p>
      <w:pPr>
        <w:pStyle w:val="Normal"/>
        <w:spacing w:before="120" w:after="60"/>
        <w:jc w:val="left"/>
        <w:rPr>
          <w:sz w:val="22"/>
          <w:szCs w:val="22"/>
          <w:b/>
        </w:rPr>
      </w:pPr>
      <w:r>
        <w:rPr>
          <w:sz w:val="22"/>
          <w:szCs w:val="22"/>
          <w:b/>
        </w:rPr>
        <w:t xml:space="preserve">Riziká spojené s podaním kontrastnej látky:</w:t>
      </w:r>
    </w:p>
    <w:p>
      <w:pPr>
        <w:pStyle w:val="Normal"/>
        <w:spacing w:before="0" w:after="80"/>
        <w:jc w:val="both"/>
      </w:pPr>
      <w:r>
        <w:rPr>
          <w:b/>
          <w:sz w:val="22"/>
          <w:szCs w:val="22"/>
        </w:rPr>
        <w:t xml:space="preserve">Alergické reakcie: </w:t>
      </w:r>
      <w:r>
        <w:rPr>
          <w:sz w:val="22"/>
          <w:szCs w:val="22"/>
        </w:rPr>
        <w:t xml:space="preserve">Mierne reakcie (žihľavka, svrbenie, nevoľnosť) sa vyskytujú u cca 0,6 % pacientov. Závažné reakcie (ťažkosti s dýchaním, pokles tlaku) sú vzácne (0,04 %), ale môžu byť život ohrozujúce. Pri predchádzajúcej reakcii na kontrastnú látku je riziko cca 5× vyššie – v takom prípade budú podané ochranné lieky, ktoré riziko znižujú, ale nemôžu ho úplne vylúčiť.</w:t>
      </w:r>
    </w:p>
    <w:p>
      <w:pPr>
        <w:pStyle w:val="Normal"/>
        <w:spacing w:before="0" w:after="80"/>
        <w:jc w:val="both"/>
      </w:pPr>
      <w:r>
        <w:rPr>
          <w:b/>
          <w:sz w:val="22"/>
          <w:szCs w:val="22"/>
        </w:rPr>
        <w:t xml:space="preserve">Poškodenie obličiek: </w:t>
      </w:r>
      <w:r>
        <w:rPr>
          <w:sz w:val="22"/>
          <w:szCs w:val="22"/>
        </w:rPr>
        <w:t xml:space="preserve">Vyskytuje sa u cca 2,6 % pacientov po tomto type výkonu. Prejavuje sa zhoršením funkcie obličiek, vzácne môže byť potrebná dočasná dialýza. Riziko je vyššie u pacientov s existujúcim ochorením obličiek, cukrovkou a vyšším vekom.</w:t>
      </w:r>
    </w:p>
    <w:p>
      <w:pPr>
        <w:pStyle w:val="Normal"/>
        <w:spacing w:before="0" w:after="80"/>
        <w:jc w:val="both"/>
      </w:pPr>
      <w:r>
        <w:rPr>
          <w:b/>
          <w:sz w:val="22"/>
          <w:szCs w:val="22"/>
        </w:rPr>
        <w:t xml:space="preserve">Vplyv na štítnu žľazu: </w:t>
      </w:r>
      <w:r>
        <w:rPr>
          <w:sz w:val="22"/>
          <w:szCs w:val="22"/>
        </w:rPr>
        <w:t xml:space="preserve">U predisponovaných jedincov môže jód vzácne vyvolať poruchu funkcie štítnej žľazy.</w:t>
      </w:r>
    </w:p>
    <w:p>
      <w:pPr>
        <w:pStyle w:val="Normal"/>
        <w:spacing w:before="120" w:after="60"/>
        <w:jc w:val="left"/>
        <w:rPr>
          <w:sz w:val="22"/>
          <w:szCs w:val="22"/>
          <w:b/>
        </w:rPr>
      </w:pPr>
      <w:r>
        <w:rPr>
          <w:sz w:val="22"/>
          <w:szCs w:val="22"/>
          <w:b/>
        </w:rPr>
        <w:t xml:space="preserve">Ochranné opatrenia: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Pred výkonom bude vyšetrená funkcia obličiek.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Budete dostatočne hydratovaný/á (tekutiny do žily).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Ak užívate metformín a máte zníženú funkciu obličiek, bude dočasne vysadený.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Množstvo kontrastnej látky bude minimalizované.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Funkcia obličiek bude kontrolovaná 48–72 hodín po výkone.</w:t>
      </w:r>
    </w:p>
    <w:p>
      <w:pPr>
        <w:spacing w:after="80"/>
      </w:pPr>
    </w:p>
    <w:p>
      <w:pPr>
        <w:spacing w:after="160"/>
      </w:pPr>
    </w:p>
    <w:p>
      <w:pPr>
        <w:pStyle w:val="Heading2"/>
        <w:numPr>
          <w:ilvl w:val="0"/>
          <w:numId w:val="3"/>
        </w:numPr>
        <w:spacing w:before="180" w:after="60"/>
      </w:pPr>
      <w:r>
        <w:rPr>
          <w:b/>
          <w:sz w:val="24"/>
        </w:rPr>
        <w:t xml:space="preserve">Vyhlásenie pacienta</w:t>
      </w:r>
    </w:p>
    <w:p>
      <w:pPr>
        <w:pStyle w:val="Normal"/>
        <w:spacing w:before="0" w:after="10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Vlastnoručným podpisom tohto dokumentu potvrdzujem, že:</w:t>
      </w:r>
    </w:p>
    <w:p>
      <w:pPr>
        <w:pStyle w:val="Normal"/>
        <w:spacing w:before="0" w:after="80"/>
        <w:ind w:start="360" w:hanging="360"/>
        <w:jc w:val="both"/>
      </w:pPr>
      <w:r>
        <w:rPr>
          <w:sz w:val="22"/>
          <w:szCs w:val="22"/>
        </w:rPr>
        <w:t xml:space="preserve">☐  Bol/a som zrozumiteľne informovaný/á o povahe, účele, priebehu a predpokladanom trvaní navrhovaného výkonu.</w:t>
      </w:r>
    </w:p>
    <w:p>
      <w:pPr>
        <w:pStyle w:val="Normal"/>
        <w:spacing w:before="0" w:after="80"/>
        <w:ind w:start="360" w:hanging="360"/>
        <w:jc w:val="both"/>
      </w:pPr>
      <w:r>
        <w:rPr>
          <w:sz w:val="22"/>
          <w:szCs w:val="22"/>
        </w:rPr>
        <w:t xml:space="preserve">☐  Bol/a som informovaný/á o možných rizikách, komplikáciách a nežiaducich účinkoch vrátane zriedkavých a závažných.</w:t>
      </w:r>
    </w:p>
    <w:p>
      <w:pPr>
        <w:pStyle w:val="Normal"/>
        <w:spacing w:before="0" w:after="80"/>
        <w:ind w:start="360" w:hanging="360"/>
        <w:jc w:val="both"/>
      </w:pPr>
      <w:r>
        <w:rPr>
          <w:sz w:val="22"/>
          <w:szCs w:val="22"/>
        </w:rPr>
        <w:t xml:space="preserve">☐  Bol/a som informovaný/á o alternatívnych možnostiach liečby a o dôsledkoch odmietnutia výkonu.</w:t>
      </w:r>
    </w:p>
    <w:p>
      <w:pPr>
        <w:pStyle w:val="Normal"/>
        <w:spacing w:before="0" w:after="80"/>
        <w:ind w:start="360" w:hanging="360"/>
        <w:jc w:val="both"/>
      </w:pPr>
      <w:r>
        <w:rPr>
          <w:sz w:val="22"/>
          <w:szCs w:val="22"/>
        </w:rPr>
        <w:t xml:space="preserve">☐  Bol/a som informovaný/á o pooperačnom režime vrátane potreby dlhodobej antikoagulačnej liečby a pravidelného sledovania.</w:t>
      </w:r>
    </w:p>
    <w:p>
      <w:pPr>
        <w:pStyle w:val="Normal"/>
        <w:spacing w:before="0" w:after="80"/>
        <w:ind w:start="360" w:hanging="360"/>
        <w:jc w:val="both"/>
      </w:pPr>
      <w:r>
        <w:rPr>
          <w:sz w:val="22"/>
          <w:szCs w:val="22"/>
        </w:rPr>
        <w:t xml:space="preserve">☐  Rozumiem, že počas výkonu môže byť na základe aktuálneho nálezu rozhodnuté o zavedení cudzieho materiálu, a s týmto postupom súhlasím.</w:t>
      </w:r>
    </w:p>
    <w:p>
      <w:pPr>
        <w:pStyle w:val="Normal"/>
        <w:spacing w:before="0" w:after="80"/>
        <w:ind w:start="360" w:hanging="360"/>
        <w:jc w:val="both"/>
      </w:pPr>
      <w:r>
        <w:rPr>
          <w:sz w:val="22"/>
          <w:szCs w:val="22"/>
        </w:rPr>
        <w:t xml:space="preserve">☐  Mal/a som dostatočný čas si tento informovaný súhlas prečítať, porozumieť jeho obsahu a slobodne sa rozhodnúť.</w:t>
      </w:r>
    </w:p>
    <w:p>
      <w:pPr>
        <w:pStyle w:val="Normal"/>
        <w:spacing w:before="0" w:after="80"/>
        <w:ind w:start="360" w:hanging="360"/>
        <w:jc w:val="both"/>
      </w:pPr>
      <w:r>
        <w:rPr>
          <w:sz w:val="22"/>
          <w:szCs w:val="22"/>
        </w:rPr>
        <w:t xml:space="preserve">☐  Mal/a som možnosť klásť otázky a všetky moje otázky boli zodpovedané.</w:t>
      </w:r>
    </w:p>
    <w:p>
      <w:pPr>
        <w:pStyle w:val="Normal"/>
        <w:spacing w:before="0" w:after="80"/>
        <w:ind w:start="360" w:hanging="360"/>
        <w:jc w:val="both"/>
      </w:pPr>
      <w:r>
        <w:rPr>
          <w:sz w:val="22"/>
          <w:szCs w:val="22"/>
        </w:rPr>
        <w:t xml:space="preserve">☐  Súhlasím s podaním kontrastnej látky, trombolytika a ďalších liekov potrebných na vykonanie výkonu.</w:t>
      </w:r>
    </w:p>
    <w:p>
      <w:pPr>
        <w:pStyle w:val="Normal"/>
        <w:spacing w:before="0" w:after="80"/>
        <w:ind w:start="360" w:hanging="360"/>
        <w:jc w:val="both"/>
      </w:pPr>
      <w:r>
        <w:rPr>
          <w:sz w:val="22"/>
          <w:szCs w:val="22"/>
        </w:rPr>
        <w:t xml:space="preserve">☐  Tento súhlas udeľujem dobrovoľne, bez nátlaku, a som si vedomý/á, že ho môžem kedykoľvek pred začiatkom výkonu odvolať.</w:t>
      </w:r>
    </w:p>
    <w:p>
      <w:pPr>
        <w:pStyle w:val="Normal"/>
        <w:spacing w:before="0" w:after="80"/>
        <w:ind w:start="360" w:hanging="360"/>
        <w:jc w:val="both"/>
      </w:pPr>
      <w:r>
        <w:rPr>
          <w:sz w:val="22"/>
          <w:szCs w:val="22"/>
        </w:rPr>
        <w:t xml:space="preserve">☐  Bol/a som informovaný/á o rizikách spojených s podaním jódovej kontrastnej látky vrátane alergickej reakcie, poškodenia obličiek a vplyvu na štítnu žľazu. Informoval/a som lekára o všetkých svojich alergiách, ochoreniach obličiek, cukrovke, ochoreniach štítnej žľazy a užívaných liekoch.</w:t>
      </w:r>
    </w:p>
    <w:p>
      <w:pPr>
        <w:pStyle w:val="Normal"/>
        <w:spacing w:before="0" w:after="80"/>
        <w:ind w:start="360" w:hanging="360"/>
        <w:jc w:val="both"/>
      </w:pPr>
      <w:r>
        <w:rPr>
          <w:sz w:val="22"/>
          <w:szCs w:val="22"/>
        </w:rPr>
        <w:t xml:space="preserve">☐  Bol/a som informovaný/á o potrebe vysadenia metformínu (ak ho užívam) a ďalších liekov pred výkonom podľa pokynov lekára.</w:t>
      </w:r>
    </w:p>
    <w:p>
      <w:pPr>
        <w:spacing w:after="120"/>
      </w:pPr>
    </w:p>
    <w:p>
      <w:pPr>
        <w:pStyle w:val="Normal"/>
        <w:spacing w:before="0" w:after="200"/>
        <w:jc w:val="both"/>
        <w:rPr>
          <w:sz w:val="22"/>
          <w:szCs w:val="22"/>
          <w:b/>
        </w:rPr>
      </w:pPr>
      <w:r>
        <w:rPr>
          <w:sz w:val="22"/>
          <w:szCs w:val="22"/>
          <w:b/>
        </w:rPr>
        <w:t xml:space="preserve">Na základe vyššie uvedených informácií slobodne a dobrovoľne súhlasím s vykonaním navrhovaného výkonu.</w:t>
      </w:r>
    </w:p>
    <w:p>
      <w:pPr>
        <w:pStyle w:val="Normal"/>
        <w:spacing w:before="360" w:after="80"/>
      </w:pPr>
      <w:r>
        <w:rPr>
          <w:b/>
          <w:sz w:val="22"/>
        </w:rPr>
        <w:t xml:space="preserve">Podpis pacienta: </w:t>
      </w:r>
      <w:r>
        <w:rPr>
          <w:sz w:val="22"/>
        </w:rPr>
        <w:t xml:space="preserve">_________________________       </w:t>
      </w:r>
      <w:r>
        <w:rPr>
          <w:b/>
          <w:sz w:val="22"/>
        </w:rPr>
        <w:t xml:space="preserve">Podpis zákonného zástupcu (ak relevantné): </w:t>
      </w:r>
      <w:r>
        <w:rPr>
          <w:sz w:val="22"/>
        </w:rPr>
        <w:t>_________________________</w:t>
      </w:r>
    </w:p>
    <w:p>
      <w:pPr>
        <w:pStyle w:val="Normal"/>
        <w:spacing w:after="60"/>
      </w:pPr>
      <w:r>
        <w:rPr>
          <w:b/>
          <w:sz w:val="22"/>
        </w:rPr>
        <w:t xml:space="preserve">Dátum a čas: </w:t>
      </w:r>
      <w:r>
        <w:rPr>
          <w:sz w:val="22"/>
        </w:rPr>
        <w:t>___________________</w:t>
      </w:r>
    </w:p>
    <w:p>
      <w:pPr>
        <w:spacing w:after="200"/>
      </w:pPr>
    </w:p>
    <w:p>
      <w:pPr>
        <w:pStyle w:val="Heading2"/>
        <w:numPr>
          <w:ilvl w:val="0"/>
          <w:numId w:val="3"/>
        </w:numPr>
        <w:spacing w:before="180" w:after="60"/>
      </w:pPr>
      <w:r>
        <w:rPr>
          <w:b/>
          <w:sz w:val="24"/>
        </w:rPr>
        <w:t xml:space="preserve">Vyhlásenie lekára</w:t>
      </w:r>
    </w:p>
    <w:p>
      <w:pPr>
        <w:pStyle w:val="Normal"/>
        <w:spacing w:before="0" w:after="12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Potvrdzujem, že som pacientovi/pacientke poskytol/la úplné a zrozumiteľné informácie o navrhovanom výkone, jeho rizikách, prínosoch a alternatívach v zmysle §6 zákona č. 576/2004 Z.z. Pacient/ka mal/a dostatočný čas na zváženie informácií a kladenie otázok. Podľa môjho najlepšieho vedomia má pacient/ka kapacitu pochopiť poskytnuté informácie a urobiť slobodné informované rozhodnutie.</w:t>
      </w:r>
    </w:p>
    <w:p>
      <w:pPr>
        <w:spacing w:after="200"/>
      </w:pPr>
    </w:p>
    <w:p>
      <w:pPr>
        <w:pStyle w:val="Normal"/>
        <w:spacing w:before="360" w:after="80"/>
      </w:pPr>
      <w:r>
        <w:rPr>
          <w:b/>
          <w:sz w:val="22"/>
        </w:rPr>
        <w:t xml:space="preserve">Podpis lekára: </w:t>
      </w:r>
      <w:r>
        <w:rPr>
          <w:sz w:val="22"/>
        </w:rPr>
        <w:t xml:space="preserve">_________________________       </w:t>
      </w:r>
      <w:r>
        <w:rPr>
          <w:b/>
          <w:sz w:val="22"/>
        </w:rPr>
        <w:t xml:space="preserve">Podpis svedka: </w:t>
      </w:r>
      <w:r>
        <w:rPr>
          <w:sz w:val="22"/>
        </w:rPr>
        <w:t>_________________________</w:t>
      </w:r>
    </w:p>
    <w:p>
      <w:pPr>
        <w:pStyle w:val="Normal"/>
        <w:spacing w:after="60"/>
      </w:pPr>
      <w:r>
        <w:rPr>
          <w:b/>
          <w:sz w:val="22"/>
        </w:rPr>
        <w:t xml:space="preserve">Dátum a čas: </w:t>
      </w:r>
      <w:r>
        <w:rPr>
          <w:sz w:val="22"/>
        </w:rPr>
        <w:t>___________________</w:t>
      </w:r>
    </w:p>
    <w:sectPr>
      <w:headerReference w:type="default" r:id="rId2"/>
      <w:type w:val="nextPage"/>
      <w:pgSz w:w="11906" w:h="16838"/>
      <w:pgMar w:left="851" w:right="851" w:gutter="0" w:header="420" w:top="476" w:footer="0" w:bottom="425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ee" w:characterSet="windows-1250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ee" w:characterSet="windows-1250"/>
    <w:family w:val="roman"/>
    <w:pitch w:val="variable"/>
  </w:font>
  <w:font w:name="ZapfCalligr AT">
    <w:altName w:val="Times New Roman"/>
    <w:charset w:val="00" w:characterSet="windows-1252"/>
    <w:family w:val="auto"/>
    <w:pitch w:val="variable"/>
  </w:font>
  <w:font w:name="Arial Narrow">
    <w:charset w:val="ee" w:characterSet="windows-1250"/>
    <w:family w:val="swiss"/>
    <w:pitch w:val="variable"/>
  </w:font>
  <w:font w:name="Courier New">
    <w:charset w:val="ee" w:characterSet="windows-1250"/>
    <w:family w:val="modern"/>
    <w:pitch w:val="default"/>
  </w:font>
  <w:font w:name="Tahoma">
    <w:charset w:val="ee" w:characterSet="windows-1250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0632" w:type="dxa"/>
      <w:jc w:val="start"/>
      <w:tblInd w:w="70" w:type="dxa"/>
      <w:tblLayout w:type="fixed"/>
      <w:tblCellMar>
        <w:top w:w="0" w:type="dxa"/>
        <w:start w:w="70" w:type="dxa"/>
        <w:bottom w:w="0" w:type="dxa"/>
        <w:end w:w="70" w:type="dxa"/>
      </w:tblCellMar>
    </w:tblPr>
    <w:tblGrid>
      <w:gridCol w:w="851"/>
      <w:gridCol w:w="2410"/>
      <w:gridCol w:w="7371"/>
    </w:tblGrid>
    <w:tr>
      <w:trPr/>
      <w:tc>
        <w:tcPr>
          <w:tcW w:w="3261" w:type="dxa"/>
          <w:gridSpan w:val="2"/>
          <w:tcBorders>
            <w:bottom w:val="single" w:sz="4" w:space="0" w:color="000000"/>
          </w:tcBorders>
        </w:tcPr>
        <w:p>
          <w:pPr>
            <w:pStyle w:val="Normal"/>
            <w:rPr>
              <w:rFonts w:ascii="Arial Narrow" w:hAnsi="Arial Narrow" w:cs="Arial Narrow"/>
              <w:sz w:val="16"/>
            </w:rPr>
          </w:pPr>
          <w:r>
            <w:rPr>
              <w:rFonts w:cs="Arial Narrow" w:ascii="Arial Narrow" w:hAnsi="Arial Narrow"/>
              <w:sz w:val="16"/>
            </w:rPr>
            <w:t xml:space="preserve">Strana </w:t>
          </w:r>
          <w:r>
            <w:rPr>
              <w:rStyle w:val="PageNumber"/>
              <w:rFonts w:cs="Arial Narrow" w:ascii="Arial Narrow" w:hAnsi="Arial Narrow"/>
              <w:sz w:val="16"/>
              <w:lang w:val="cs-CZ"/>
            </w:rPr>
            <w:fldChar w:fldCharType="begin"/>
          </w:r>
          <w:r>
            <w:rPr>
              <w:rStyle w:val="PageNumber"/>
              <w:sz w:val="16"/>
              <w:rFonts w:cs="Arial Narrow" w:ascii="Arial Narrow" w:hAnsi="Arial Narrow"/>
              <w:lang w:val="cs-CZ"/>
            </w:rPr>
            <w:instrText xml:space="preserve"> PAGE </w:instrText>
          </w:r>
          <w:r>
            <w:rPr>
              <w:rStyle w:val="PageNumber"/>
              <w:sz w:val="16"/>
              <w:rFonts w:cs="Arial Narrow" w:ascii="Arial Narrow" w:hAnsi="Arial Narrow"/>
              <w:lang w:val="cs-CZ"/>
            </w:rPr>
            <w:fldChar w:fldCharType="separate"/>
          </w:r>
          <w:r>
            <w:rPr>
              <w:rStyle w:val="PageNumber"/>
              <w:sz w:val="16"/>
              <w:rFonts w:cs="Arial Narrow" w:ascii="Arial Narrow" w:hAnsi="Arial Narrow"/>
              <w:lang w:val="cs-CZ"/>
            </w:rPr>
            <w:t>2</w:t>
          </w:r>
          <w:r>
            <w:rPr>
              <w:rStyle w:val="PageNumber"/>
              <w:sz w:val="16"/>
              <w:rFonts w:cs="Arial Narrow" w:ascii="Arial Narrow" w:hAnsi="Arial Narrow"/>
              <w:lang w:val="cs-CZ"/>
            </w:rPr>
            <w:fldChar w:fldCharType="end"/>
          </w:r>
          <w:r>
            <w:rPr>
              <w:rStyle w:val="PageNumber"/>
              <w:rFonts w:cs="Arial Narrow" w:ascii="Arial Narrow" w:hAnsi="Arial Narrow"/>
              <w:sz w:val="16"/>
              <w:lang w:val="cs-CZ"/>
            </w:rPr>
            <w:t>/</w:t>
          </w:r>
          <w:r>
            <w:rPr>
              <w:rStyle w:val="PageNumber"/>
              <w:rFonts w:cs="Arial Narrow" w:ascii="Arial Narrow" w:hAnsi="Arial Narrow"/>
              <w:sz w:val="16"/>
              <w:lang w:val="cs-CZ"/>
            </w:rPr>
            <w:fldChar w:fldCharType="begin"/>
          </w:r>
          <w:r>
            <w:rPr>
              <w:rStyle w:val="PageNumber"/>
              <w:sz w:val="16"/>
              <w:rFonts w:cs="Arial Narrow" w:ascii="Arial Narrow" w:hAnsi="Arial Narrow"/>
              <w:lang w:val="cs-CZ"/>
            </w:rPr>
            <w:instrText xml:space="preserve"> NUMPAGES \* ARABIC </w:instrText>
          </w:r>
          <w:r>
            <w:rPr>
              <w:rStyle w:val="PageNumber"/>
              <w:sz w:val="16"/>
              <w:rFonts w:cs="Arial Narrow" w:ascii="Arial Narrow" w:hAnsi="Arial Narrow"/>
              <w:lang w:val="cs-CZ"/>
            </w:rPr>
            <w:fldChar w:fldCharType="separate"/>
          </w:r>
          <w:r>
            <w:rPr>
              <w:rStyle w:val="PageNumber"/>
              <w:sz w:val="16"/>
              <w:rFonts w:cs="Arial Narrow" w:ascii="Arial Narrow" w:hAnsi="Arial Narrow"/>
              <w:lang w:val="cs-CZ"/>
            </w:rPr>
            <w:t>2</w:t>
          </w:r>
          <w:r>
            <w:rPr>
              <w:rStyle w:val="PageNumber"/>
              <w:sz w:val="16"/>
              <w:rFonts w:cs="Arial Narrow" w:ascii="Arial Narrow" w:hAnsi="Arial Narrow"/>
              <w:lang w:val="cs-CZ"/>
            </w:rPr>
            <w:fldChar w:fldCharType="end"/>
          </w:r>
        </w:p>
      </w:tc>
      <w:tc>
        <w:tcPr>
          <w:tcW w:w="7371" w:type="dxa"/>
          <w:tcBorders>
            <w:bottom w:val="single" w:sz="4" w:space="0" w:color="000000"/>
          </w:tcBorders>
        </w:tcPr>
        <w:p>
          <w:pPr>
            <w:pStyle w:val="Normal"/>
            <w:rPr>
              <w:rFonts w:ascii="Arial Narrow" w:hAnsi="Arial Narrow" w:cs="Arial Narrow"/>
              <w:sz w:val="16"/>
            </w:rPr>
          </w:pPr>
          <w:r>
            <w:rPr>
              <w:rFonts w:cs="Arial Narrow" w:ascii="Arial Narrow" w:hAnsi="Arial Narrow"/>
              <w:sz w:val="16"/>
            </w:rPr>
            <w:t>Platnosť od : 01.08.2026                                                                                                                                          F. 103a.4</w:t>
          </w:r>
        </w:p>
      </w:tc>
    </w:tr>
    <w:tr>
      <w:trPr>
        <w:trHeight w:val="1110" w:hRule="atLeast"/>
        <w:cantSplit w:val="true"/>
      </w:trPr>
      <w:tc>
        <w:tcPr>
          <w:tcW w:w="851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</w:tcPr>
        <w:p>
          <w:pPr>
            <w:pStyle w:val="Heading2"/>
            <w:numPr>
              <w:ilvl w:val="0"/>
              <w:numId w:val="0"/>
            </w:numPr>
            <w:spacing w:before="60" w:after="60"/>
            <w:ind w:hanging="0" w:start="0"/>
            <w:jc w:val="center"/>
            <w:rPr>
              <w:sz w:val="16"/>
            </w:rPr>
          </w:pPr>
          <w:r>
            <w:rPr/>
            <w:drawing>
              <wp:inline distT="0" distB="0" distL="0" distR="0">
                <wp:extent cx="461645" cy="619125"/>
                <wp:effectExtent l="0" t="0" r="0" b="0"/>
                <wp:docPr id="1" name="Image1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1" descr="" titl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 l="-16" t="-12" r="-16" b="-1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645" cy="6191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410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Heading2"/>
            <w:numPr>
              <w:ilvl w:val="0"/>
              <w:numId w:val="0"/>
            </w:numPr>
            <w:spacing w:before="120" w:after="0"/>
            <w:ind w:hanging="0" w:start="0"/>
            <w:jc w:val="center"/>
            <w:rPr>
              <w:sz w:val="20"/>
            </w:rPr>
          </w:pPr>
          <w:r>
            <w:rPr>
              <w:sz w:val="20"/>
            </w:rPr>
            <w:t>Národný  ústav srdcových a cievnych chorôb, a.s.</w:t>
          </w:r>
        </w:p>
      </w:tc>
      <w:tc>
        <w:tcPr>
          <w:tcW w:w="7371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shd w:fill="D8D8D8" w:val="clear"/>
        </w:tcPr>
        <w:p>
          <w:pPr>
            <w:pStyle w:val="Normal"/>
            <w:keepNext w:val="true"/>
            <w:keepLines/>
            <w:spacing w:before="360" w:after="240"/>
            <w:ind w:start="40" w:end="40"/>
            <w:jc w:val="center"/>
            <w:rPr>
              <w:b/>
              <w:color w:val="000000"/>
              <w:sz w:val="24"/>
            </w:rPr>
          </w:pPr>
          <w:r>
            <w:rPr>
              <w:b/>
              <w:caps/>
              <w:sz w:val="24"/>
              <w:szCs w:val="24"/>
            </w:rPr>
            <w:t>INFORMOVANÝ SÚHLAS PACIENTA – ENDOVASKULÁRNA LIEČBA ANEURYZMY VISCERÁLNYCH TEPIEN</w:t>
          </w:r>
        </w:p>
        <w:p>
          <w:pPr>
            <w:pStyle w:val="Normal"/>
            <w:spacing w:before="0" w:after="140"/>
            <w:ind w:start="40" w:end="40"/>
            <w:jc w:val="center"/>
          </w:pPr>
          <w:r>
            <w:rPr>
              <w:i/>
              <w:color w:val="333333"/>
              <w:sz w:val="16"/>
              <w:szCs w:val="16"/>
            </w:rPr>
            <w:t>Poučenie podľa §6 zákona č. 576/2004 Z.z. o zdravotnej starostlivosti, službách súvisiacich s poskytovaním zdravotnej starostlivosti a o zmene a doplnení niektorých zákonov (plánovaný výkon – zrozumiteľne laicky)</w:t>
          </w:r>
        </w:p>
      </w:tc>
    </w:tr>
  </w:tbl>
  <w:p>
    <w:pPr>
      <w:pStyle w:val="Header"/>
      <w:rPr>
        <w:sz w:val="4"/>
        <w:lang w:val="sk-SK"/>
      </w:rPr>
    </w:pPr>
    <w:r>
      <w:rPr>
        <w:sz w:val="4"/>
        <w:lang w:val="sk-SK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decimal"/>
      <w:lvlText w:val="%1"/>
      <w:lvlJc w:val="start"/>
      <w:pPr>
        <w:tabs>
          <w:tab w:val="num" w:pos="705"/>
        </w:tabs>
        <w:ind w:start="705" w:hanging="705"/>
      </w:pPr>
      <w:rPr>
        <w:caps/>
        <w:outline w:val="false"/>
        <w:dstrike w:val="false"/>
        <w:strike w:val="false"/>
        <w:vertAlign w:val="baseline"/>
        <w:position w:val="0"/>
        <w:sz w:val="24"/>
        <w:shadow w:val="false"/>
        <w:vanish w:val="false"/>
      </w:rPr>
    </w:lvl>
    <w:lvl w:ilvl="1">
      <w:start w:val="1"/>
      <w:pStyle w:val="Heading2"/>
      <w:numFmt w:val="decimal"/>
      <w:lvlText w:val="%1.%2"/>
      <w:lvlJc w:val="start"/>
      <w:pPr>
        <w:tabs>
          <w:tab w:val="num" w:pos="705"/>
        </w:tabs>
        <w:ind w:start="705" w:hanging="705"/>
      </w:pPr>
      <w:rPr/>
    </w:lvl>
    <w:lvl w:ilvl="2">
      <w:start w:val="1"/>
      <w:pStyle w:val="Heading3"/>
      <w:numFmt w:val="decimal"/>
      <w:lvlText w:val="%1.%2.%3"/>
      <w:lvlJc w:val="start"/>
      <w:pPr>
        <w:tabs>
          <w:tab w:val="num" w:pos="720"/>
        </w:tabs>
        <w:ind w:start="720" w:hanging="720"/>
      </w:pPr>
      <w:rPr/>
    </w:lvl>
    <w:lvl w:ilvl="3">
      <w:start w:val="1"/>
      <w:pStyle w:val="Heading4"/>
      <w:numFmt w:val="decimal"/>
      <w:suff w:val="space"/>
      <w:lvlText w:val="%1.%2.%3.%4"/>
      <w:lvlJc w:val="start"/>
      <w:pPr>
        <w:tabs>
          <w:tab w:val="num" w:pos="0"/>
        </w:tabs>
        <w:ind w:start="720" w:hanging="720"/>
      </w:pPr>
      <w:rPr/>
    </w:lvl>
    <w:lvl w:ilvl="4">
      <w:start w:val="1"/>
      <w:numFmt w:val="decimal"/>
      <w:lvlText w:val="%1.%2.%3.%4"/>
      <w:lvlJc w:val="start"/>
      <w:pPr>
        <w:tabs>
          <w:tab w:val="num" w:pos="1080"/>
        </w:tabs>
        <w:ind w:start="1080" w:hanging="1080"/>
      </w:pPr>
      <w:rPr/>
    </w:lvl>
    <w:lvl w:ilvl="5">
      <w:start w:val="1"/>
      <w:numFmt w:val="decimal"/>
      <w:lvlText w:val="%1.%2.%3.%4.%5.%6"/>
      <w:lvlJc w:val="start"/>
      <w:pPr>
        <w:tabs>
          <w:tab w:val="num" w:pos="1080"/>
        </w:tabs>
        <w:ind w:start="1080" w:hanging="1080"/>
      </w:pPr>
      <w:rPr/>
    </w:lvl>
    <w:lvl w:ilvl="6">
      <w:start w:val="1"/>
      <w:numFmt w:val="decimal"/>
      <w:lvlText w:val="%1.%2.%3.%4.%5.%6.%7"/>
      <w:lvlJc w:val="start"/>
      <w:pPr>
        <w:tabs>
          <w:tab w:val="num" w:pos="1440"/>
        </w:tabs>
        <w:ind w:start="1440" w:hanging="1440"/>
      </w:pPr>
      <w:rPr/>
    </w:lvl>
    <w:lvl w:ilvl="7">
      <w:start w:val="1"/>
      <w:numFmt w:val="decimal"/>
      <w:lvlText w:val="%1.%2.%3.%4.%5.%6.%7.%8"/>
      <w:lvlJc w:val="start"/>
      <w:pPr>
        <w:tabs>
          <w:tab w:val="num" w:pos="1440"/>
        </w:tabs>
        <w:ind w:start="1440" w:hanging="1440"/>
      </w:pPr>
      <w:rPr/>
    </w:lvl>
    <w:lvl w:ilvl="8">
      <w:start w:val="1"/>
      <w:numFmt w:val="decimal"/>
      <w:lvlText w:val="%1.%2.%3.%4.%5.%6.%7.%8.%9"/>
      <w:lvlJc w:val="start"/>
      <w:pPr>
        <w:tabs>
          <w:tab w:val="num" w:pos="1800"/>
        </w:tabs>
        <w:ind w:start="1800" w:hanging="180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</w:abstractNum>
  <w:abstractNum w:abstractNumId="3">
    <w:lvl w:ilvl="0">
      <w:start w:val="1"/>
      <w:numFmt w:val="bullet"/>
      <w:lvlText w:val="•"/>
      <w:lvlJc w:val="start"/>
      <w:pPr>
        <w:ind w:start="3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usePrinterMetrics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Arial" w:hAnsi="Arial" w:eastAsia="Times New Roman" w:cs="Arial"/>
      <w:color w:val="auto"/>
      <w:sz w:val="20"/>
      <w:szCs w:val="20"/>
      <w:lang w:val="sk-SK" w:bidi="ar-SA" w:eastAsia="zh-CN"/>
    </w:rPr>
  </w:style>
  <w:style w:type="paragraph" w:styleId="Heading1">
    <w:name w:val="Heading 1"/>
    <w:basedOn w:val="Normal"/>
    <w:next w:val="Normal"/>
    <w:qFormat/>
    <w:pPr>
      <w:numPr>
        <w:ilvl w:val="0"/>
        <w:numId w:val="1"/>
      </w:numPr>
      <w:spacing w:before="240" w:after="60"/>
      <w:outlineLvl w:val="0"/>
    </w:pPr>
    <w:rPr>
      <w:b/>
      <w:caps/>
      <w:kern w:val="2"/>
      <w:sz w:val="24"/>
      <w:lang w:val="cs-CZ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spacing w:before="120" w:after="0"/>
      <w:outlineLvl w:val="1"/>
    </w:pPr>
    <w:rPr>
      <w:b/>
      <w:sz w:val="24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pacing w:before="120" w:after="0"/>
      <w:outlineLvl w:val="2"/>
    </w:pPr>
    <w:rPr>
      <w:b/>
      <w:sz w:val="22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before="120" w:after="0"/>
      <w:outlineLvl w:val="3"/>
    </w:pPr>
    <w:rPr>
      <w:sz w:val="22"/>
    </w:rPr>
  </w:style>
  <w:style w:type="paragraph" w:styleId="Heading5">
    <w:name w:val="Heading 5"/>
    <w:basedOn w:val="Normal"/>
    <w:next w:val="Normal"/>
    <w:qFormat/>
    <w:pPr>
      <w:spacing w:before="240" w:after="60"/>
      <w:outlineLvl w:val="4"/>
    </w:pPr>
    <w:rPr>
      <w:sz w:val="22"/>
    </w:rPr>
  </w:style>
  <w:style w:type="paragraph" w:styleId="Heading6">
    <w:name w:val="Heading 6"/>
    <w:basedOn w:val="Normal"/>
    <w:next w:val="Normal"/>
    <w:qFormat/>
    <w:pPr>
      <w:spacing w:before="240" w:after="60"/>
      <w:outlineLvl w:val="5"/>
    </w:pPr>
    <w:rPr>
      <w:i/>
      <w:sz w:val="22"/>
    </w:rPr>
  </w:style>
  <w:style w:type="paragraph" w:styleId="Heading7">
    <w:name w:val="Heading 7"/>
    <w:basedOn w:val="Normal"/>
    <w:next w:val="Normal"/>
    <w:qFormat/>
    <w:pPr>
      <w:spacing w:before="240" w:after="60"/>
      <w:outlineLvl w:val="6"/>
    </w:pPr>
    <w:rPr/>
  </w:style>
  <w:style w:type="paragraph" w:styleId="Heading8">
    <w:name w:val="Heading 8"/>
    <w:basedOn w:val="Normal"/>
    <w:next w:val="Normal"/>
    <w:qFormat/>
    <w:pPr>
      <w:spacing w:before="240" w:after="60"/>
      <w:outlineLvl w:val="7"/>
    </w:pPr>
    <w:rPr>
      <w:i/>
    </w:rPr>
  </w:style>
  <w:style w:type="paragraph" w:styleId="Heading9">
    <w:name w:val="Heading 9"/>
    <w:basedOn w:val="Normal"/>
    <w:next w:val="Normal"/>
    <w:qFormat/>
    <w:pPr>
      <w:spacing w:before="240" w:after="60"/>
      <w:outlineLvl w:val="8"/>
    </w:pPr>
    <w:rPr>
      <w:i/>
      <w:sz w:val="18"/>
    </w:rPr>
  </w:style>
  <w:style w:type="character" w:styleId="WW8Num3z0">
    <w:name w:val="WW8Num3z0"/>
    <w:qFormat/>
    <w:rPr>
      <w:caps/>
      <w:strike w:val="false"/>
      <w:dstrike w:val="false"/>
      <w:outline w:val="false"/>
      <w:shadow w:val="false"/>
      <w:vanish w:val="false"/>
      <w:position w:val="0"/>
      <w:sz w:val="24"/>
      <w:vertAlign w:val="baseline"/>
    </w:rPr>
  </w:style>
  <w:style w:type="character" w:styleId="WW8Num3z1">
    <w:name w:val="WW8Num3z1"/>
    <w:qFormat/>
    <w:rPr/>
  </w:style>
  <w:style w:type="character" w:styleId="Predvolenpsmoodseku">
    <w:name w:val="Predvolené písmo odseku"/>
    <w:qFormat/>
    <w:rPr/>
  </w:style>
  <w:style w:type="character" w:styleId="PageNumber">
    <w:name w:val="Page Number"/>
    <w:basedOn w:val="Predvolenpsmoodseku"/>
    <w:rPr/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tLeast" w:line="240"/>
    </w:pPr>
    <w:rPr>
      <w:color w:val="000000"/>
      <w:sz w:val="18"/>
      <w:lang w:val="cs-CZ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536" w:leader="none"/>
        <w:tab w:val="right" w:pos="9072" w:leader="none"/>
      </w:tabs>
    </w:pPr>
    <w:rPr>
      <w:lang w:val="cs-CZ"/>
    </w:rPr>
  </w:style>
  <w:style w:type="paragraph" w:styleId="Popis">
    <w:name w:val="Popis"/>
    <w:basedOn w:val="Normal"/>
    <w:qFormat/>
    <w:pPr/>
    <w:rPr>
      <w:b/>
      <w:lang w:val="cs-CZ"/>
    </w:rPr>
  </w:style>
  <w:style w:type="paragraph" w:styleId="TOC1">
    <w:name w:val="TOC 1"/>
    <w:next w:val="Normal"/>
    <w:pPr>
      <w:widowControl/>
      <w:bidi w:val="0"/>
      <w:spacing w:before="60" w:after="0"/>
    </w:pPr>
    <w:rPr>
      <w:rFonts w:ascii="Arial" w:hAnsi="Arial" w:eastAsia="Times New Roman" w:cs="Arial"/>
      <w:caps/>
      <w:color w:val="auto"/>
      <w:sz w:val="22"/>
      <w:szCs w:val="20"/>
      <w:lang w:val="sk-SK" w:bidi="ar-SA" w:eastAsia="zh-CN"/>
    </w:rPr>
  </w:style>
  <w:style w:type="paragraph" w:styleId="TOC3">
    <w:name w:val="TOC 3"/>
    <w:next w:val="Normal"/>
    <w:pPr>
      <w:widowControl/>
      <w:bidi w:val="0"/>
      <w:ind w:hanging="0" w:start="200" w:end="0"/>
    </w:pPr>
    <w:rPr>
      <w:rFonts w:ascii="Times New Roman" w:hAnsi="Times New Roman" w:eastAsia="Times New Roman" w:cs="Times New Roman"/>
      <w:color w:val="auto"/>
      <w:sz w:val="20"/>
      <w:szCs w:val="20"/>
      <w:lang w:val="sk-SK" w:bidi="ar-SA" w:eastAsia="zh-CN"/>
    </w:rPr>
  </w:style>
  <w:style w:type="paragraph" w:styleId="TOC4">
    <w:name w:val="TOC 4"/>
    <w:next w:val="Normal"/>
    <w:pPr>
      <w:widowControl/>
      <w:bidi w:val="0"/>
      <w:ind w:hanging="0" w:start="400" w:end="0"/>
    </w:pPr>
    <w:rPr>
      <w:rFonts w:ascii="Times New Roman" w:hAnsi="Times New Roman" w:eastAsia="Times New Roman" w:cs="Times New Roman"/>
      <w:color w:val="auto"/>
      <w:sz w:val="20"/>
      <w:szCs w:val="20"/>
      <w:lang w:val="sk-SK" w:bidi="ar-SA" w:eastAsia="zh-CN"/>
    </w:rPr>
  </w:style>
  <w:style w:type="paragraph" w:styleId="TOC2">
    <w:name w:val="TOC 2"/>
    <w:basedOn w:val="Normal"/>
    <w:next w:val="Normal"/>
    <w:pPr>
      <w:spacing w:before="240" w:after="0"/>
    </w:pPr>
    <w:rPr>
      <w:rFonts w:ascii="Times New Roman" w:hAnsi="Times New Roman" w:cs="Times New Roman"/>
      <w:b/>
    </w:rPr>
  </w:style>
  <w:style w:type="paragraph" w:styleId="Footer">
    <w:name w:val="Footer"/>
    <w:basedOn w:val="Normal"/>
    <w:pPr>
      <w:tabs>
        <w:tab w:val="clear" w:pos="708"/>
        <w:tab w:val="center" w:pos="4536" w:leader="none"/>
        <w:tab w:val="right" w:pos="9072" w:leader="none"/>
      </w:tabs>
    </w:pPr>
    <w:rPr>
      <w:lang w:val="cs-CZ"/>
    </w:rPr>
  </w:style>
  <w:style w:type="paragraph" w:styleId="Zarkazkladnhotextu2">
    <w:name w:val="Zarážka základného textu 2"/>
    <w:basedOn w:val="Normal"/>
    <w:qFormat/>
    <w:pPr>
      <w:ind w:hanging="141" w:start="2268" w:end="0"/>
    </w:pPr>
    <w:rPr>
      <w:color w:val="000000"/>
      <w:lang w:val="cs-CZ"/>
    </w:rPr>
  </w:style>
  <w:style w:type="paragraph" w:styleId="Zarkazkladnhotextu3">
    <w:name w:val="Zarážka základného textu 3"/>
    <w:basedOn w:val="Normal"/>
    <w:qFormat/>
    <w:pPr>
      <w:ind w:hanging="142" w:start="426" w:end="0"/>
    </w:pPr>
    <w:rPr>
      <w:color w:val="000000"/>
    </w:rPr>
  </w:style>
  <w:style w:type="paragraph" w:styleId="Zkladntext2">
    <w:name w:val="Základný text 2"/>
    <w:basedOn w:val="Normal"/>
    <w:qFormat/>
    <w:pPr>
      <w:tabs>
        <w:tab w:val="clear" w:pos="708"/>
        <w:tab w:val="left" w:pos="990" w:leader="none"/>
      </w:tabs>
      <w:spacing w:lineRule="atLeast" w:line="240"/>
    </w:pPr>
    <w:rPr>
      <w:color w:val="000000"/>
    </w:rPr>
  </w:style>
  <w:style w:type="paragraph" w:styleId="Zkladntext3">
    <w:name w:val="Základný text 3"/>
    <w:basedOn w:val="Normal"/>
    <w:qFormat/>
    <w:pPr>
      <w:spacing w:lineRule="atLeast" w:line="240"/>
    </w:pPr>
    <w:rPr>
      <w:color w:val="000000"/>
      <w:sz w:val="16"/>
    </w:rPr>
  </w:style>
  <w:style w:type="paragraph" w:styleId="normal3">
    <w:name w:val="normal3"/>
    <w:basedOn w:val="Normal"/>
    <w:qFormat/>
    <w:pPr>
      <w:ind w:hanging="170" w:start="170" w:end="0"/>
    </w:pPr>
    <w:rPr>
      <w:rFonts w:ascii="Times New Roman" w:hAnsi="Times New Roman" w:cs="Times New Roman"/>
    </w:rPr>
  </w:style>
  <w:style w:type="paragraph" w:styleId="02Odsadentext">
    <w:name w:val="02 Odsadený text"/>
    <w:qFormat/>
    <w:pPr>
      <w:widowControl/>
      <w:bidi w:val="0"/>
      <w:spacing w:before="60" w:after="0"/>
      <w:ind w:firstLine="680" w:start="0" w:end="0"/>
      <w:jc w:val="both"/>
    </w:pPr>
    <w:rPr>
      <w:rFonts w:ascii="ZapfCalligr AT;Times New Roman" w:hAnsi="ZapfCalligr AT;Times New Roman" w:eastAsia="Times New Roman" w:cs="ZapfCalligr AT;Times New Roman"/>
      <w:color w:val="auto"/>
      <w:sz w:val="20"/>
      <w:szCs w:val="20"/>
      <w:lang w:val="sk-SK" w:bidi="ar-SA" w:eastAsia="zh-CN"/>
    </w:rPr>
  </w:style>
  <w:style w:type="paragraph" w:styleId="BodyTextIndent">
    <w:name w:val="Body Text Indent"/>
    <w:basedOn w:val="Normal"/>
    <w:pPr>
      <w:tabs>
        <w:tab w:val="clear" w:pos="708"/>
        <w:tab w:val="left" w:pos="23" w:leader="none"/>
        <w:tab w:val="left" w:pos="743" w:leader="none"/>
        <w:tab w:val="left" w:pos="1463" w:leader="none"/>
        <w:tab w:val="left" w:pos="2183" w:leader="none"/>
        <w:tab w:val="left" w:pos="2903" w:leader="none"/>
        <w:tab w:val="left" w:pos="3623" w:leader="none"/>
        <w:tab w:val="left" w:pos="4343" w:leader="none"/>
      </w:tabs>
      <w:spacing w:lineRule="atLeast" w:line="240"/>
      <w:ind w:hanging="0" w:start="23" w:end="0"/>
      <w:jc w:val="both"/>
    </w:pPr>
    <w:rPr>
      <w:rFonts w:ascii="Arial Narrow" w:hAnsi="Arial Narrow" w:cs="Arial Narrow"/>
      <w:color w:val="000000"/>
      <w:spacing w:val="-4"/>
    </w:rPr>
  </w:style>
  <w:style w:type="paragraph" w:styleId="FootStyle2">
    <w:name w:val="Foot Style 2"/>
    <w:basedOn w:val="Footer"/>
    <w:qFormat/>
    <w:pPr>
      <w:tabs>
        <w:tab w:val="clear" w:pos="4536"/>
        <w:tab w:val="clear" w:pos="9072"/>
        <w:tab w:val="left" w:pos="1985" w:leader="none"/>
        <w:tab w:val="right" w:pos="8306" w:leader="none"/>
      </w:tabs>
      <w:spacing w:lineRule="atLeast" w:line="240" w:before="240" w:after="0"/>
    </w:pPr>
    <w:rPr>
      <w:b/>
      <w:sz w:val="24"/>
      <w:lang w:val="en-US"/>
    </w:rPr>
  </w:style>
  <w:style w:type="paragraph" w:styleId="TOC5">
    <w:name w:val="TOC 5"/>
    <w:basedOn w:val="Normal"/>
    <w:next w:val="Normal"/>
    <w:pPr>
      <w:ind w:hanging="0" w:start="600" w:end="0"/>
    </w:pPr>
    <w:rPr>
      <w:rFonts w:ascii="Times New Roman" w:hAnsi="Times New Roman" w:cs="Times New Roman"/>
    </w:rPr>
  </w:style>
  <w:style w:type="paragraph" w:styleId="TOC6">
    <w:name w:val="TOC 6"/>
    <w:basedOn w:val="Normal"/>
    <w:next w:val="Normal"/>
    <w:pPr>
      <w:ind w:hanging="0" w:start="800" w:end="0"/>
    </w:pPr>
    <w:rPr>
      <w:rFonts w:ascii="Times New Roman" w:hAnsi="Times New Roman" w:cs="Times New Roman"/>
    </w:rPr>
  </w:style>
  <w:style w:type="paragraph" w:styleId="TOC7">
    <w:name w:val="TOC 7"/>
    <w:basedOn w:val="Normal"/>
    <w:next w:val="Normal"/>
    <w:pPr>
      <w:ind w:hanging="0" w:start="1000" w:end="0"/>
    </w:pPr>
    <w:rPr>
      <w:rFonts w:ascii="Times New Roman" w:hAnsi="Times New Roman" w:cs="Times New Roman"/>
    </w:rPr>
  </w:style>
  <w:style w:type="paragraph" w:styleId="TOC8">
    <w:name w:val="TOC 8"/>
    <w:basedOn w:val="Normal"/>
    <w:next w:val="Normal"/>
    <w:pPr>
      <w:ind w:hanging="0" w:start="1200" w:end="0"/>
    </w:pPr>
    <w:rPr>
      <w:rFonts w:ascii="Times New Roman" w:hAnsi="Times New Roman" w:cs="Times New Roman"/>
    </w:rPr>
  </w:style>
  <w:style w:type="paragraph" w:styleId="TOC9">
    <w:name w:val="TOC 9"/>
    <w:basedOn w:val="Normal"/>
    <w:next w:val="Normal"/>
    <w:pPr>
      <w:ind w:hanging="0" w:start="1400" w:end="0"/>
    </w:pPr>
    <w:rPr>
      <w:rFonts w:ascii="Times New Roman" w:hAnsi="Times New Roman" w:cs="Times New Roman"/>
    </w:rPr>
  </w:style>
  <w:style w:type="paragraph" w:styleId="Obyajntext">
    <w:name w:val="Obyčajný text"/>
    <w:basedOn w:val="Normal"/>
    <w:qFormat/>
    <w:pPr/>
    <w:rPr>
      <w:rFonts w:ascii="Courier New" w:hAnsi="Courier New" w:cs="Courier New"/>
    </w:rPr>
  </w:style>
  <w:style w:type="paragraph" w:styleId="Normal1">
    <w:name w:val="Normal1"/>
    <w:basedOn w:val="Normal"/>
    <w:qFormat/>
    <w:pPr>
      <w:suppressAutoHyphens w:val="true"/>
      <w:spacing w:lineRule="auto" w:line="228"/>
    </w:pPr>
    <w:rPr>
      <w:rFonts w:ascii="Times New Roman" w:hAnsi="Times New Roman" w:cs="Times New Roman"/>
    </w:rPr>
  </w:style>
  <w:style w:type="paragraph" w:styleId="Textbubliny">
    <w:name w:val="Text bubliny"/>
    <w:basedOn w:val="Normal"/>
    <w:qFormat/>
    <w:pPr/>
    <w:rPr>
      <w:rFonts w:ascii="Tahoma" w:hAnsi="Tahoma" w:cs="Tahoma"/>
      <w:sz w:val="16"/>
      <w:szCs w:val="1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2026-05-26T12:11:00Z</dcterms:created>
  <dc:creator>j.skoupý</dc:creator>
  <dc:description/>
  <cp:keywords/>
  <dc:language>en-US</dc:language>
  <cp:lastModifiedBy>Vincze Lukáš MUDr.</cp:lastModifiedBy>
  <cp:lastPrinted>2008-02-05T11:47:00Z</cp:lastPrinted>
  <dcterms:modified xsi:type="dcterms:W3CDTF">2026-05-26T12:11:00Z</dcterms:modified>
  <cp:revision>2</cp:revision>
  <dc:subject/>
  <dc:title/>
</cp:coreProperties>
</file>