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Meno pacienta: </w:t>
      </w:r>
      <w:r>
        <w:rPr>
          <w:sz w:val="22"/>
          <w:szCs w:val="22"/>
        </w:rPr>
        <w:t xml:space="preserve">_______________________________   </w:t>
      </w:r>
      <w:r>
        <w:rPr>
          <w:b/>
          <w:sz w:val="22"/>
          <w:szCs w:val="22"/>
        </w:rPr>
        <w:t xml:space="preserve">Rodné číslo: </w:t>
      </w:r>
      <w:r>
        <w:rPr>
          <w:sz w:val="22"/>
          <w:szCs w:val="22"/>
        </w:rPr>
        <w:t xml:space="preserve">______________________</w:t>
      </w:r>
    </w:p>
    <w:p>
      <w:pPr>
        <w:pStyle w:val="Normal"/>
        <w:spacing w:before="0" w:after="160"/>
        <w:jc w:val="both"/>
      </w:pPr>
      <w:r>
        <w:rPr>
          <w:b/>
          <w:sz w:val="22"/>
          <w:szCs w:val="22"/>
        </w:rPr>
        <w:t xml:space="preserve">Ošetrujúci lekár: </w:t>
      </w:r>
      <w:r>
        <w:rPr>
          <w:sz w:val="22"/>
          <w:szCs w:val="22"/>
        </w:rPr>
        <w:t xml:space="preserve">____________________________   </w:t>
      </w:r>
      <w:r>
        <w:rPr>
          <w:b/>
          <w:sz w:val="22"/>
          <w:szCs w:val="22"/>
        </w:rPr>
        <w:t xml:space="preserve">Dátum: </w:t>
      </w:r>
      <w:r>
        <w:rPr>
          <w:sz w:val="22"/>
          <w:szCs w:val="22"/>
        </w:rPr>
        <w:t xml:space="preserve">______________________________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Diagnóza a dôvod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U Vás bola diagnostikovaná rezistentná arteriálna hypertenzia – krvný tlak zostáva nekontrolovaný napriek optimálnej liečbe minimálne 3 antihypertenzívami (vrátane diuretika) v maximálne tolerovaných dávkach. Sympatická aktivácia obličkových nervov prispieva k udržiavaniu vysokého krvného tlaku. Renálna denervácia (RDN) je katetrizačná liečba, pri ktorej sa rádiofrekvenčnou energiou alebo ultrazvukom prerušia sympatické nervy v stene renálnych tepien.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Popis výkonu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Výkon sa vykonáva v lokálnej anestézii s analgosedáciou. Cez vpich do femorálnej tepny v slabine sa zavedie špeciálny denervačný katéter do renálnych tepien. Rádiofrekvenčnou energiou alebo fokusovaným ultrazvukom sa aplikujú energetické impulzy pozdĺž steny renálnej tepny, čím sa selektívne ničia sympatické nervové vlákna v adventícii tepny bez poškodenia samotnej tepny. Výkon trvá 30–60 minút.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Očakávané prínosy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Pokles krvného tlaku o 5–10 mmHg (systolického) v priemere u respondérov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Redukcia počtu antihypertenzív potrebných na kontrolu TK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Zlepšenie kardiovaskulárnej prognózy pri dlhodobej kontrole TK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Minimálne invazívny jednorazový výkon bez trvalých implantátov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Riziká a možné komplikácie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Ako pri každom invazívnom výkone, aj tento zákrok nesie riziká. Medzi najdôležitejšie patria:</w:t>
      </w:r>
    </w:p>
    <w:p>
      <w:pPr>
        <w:pStyle w:val="Normal"/>
        <w:spacing w:before="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Časté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Hematóm alebo krvácanie v mieste vpichu v slabine (cca 3–5 %)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Bolesť alebo pálenie v chrbte počas aplikácie energie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Dočasný pokles krvného tlaku bezprostredne po výkone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Menej časté, ale závažné komplikácie: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Stenóza alebo disekcia renálnej tepny (cca 1–2 %) – spôsobená aplikáciou energie alebo katétrom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Poranenie renálnej tepny vyžadujúce intervenciu (stenting) (&lt; 1 %)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Poškodenie obličiek kontrastnou látkou (cca 2–5 %)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Alergická reakcia na kontrastnú látku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Embolizácia do renálneho parenchýmu (vzácne)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Smrť – veľmi vzácne (&lt; 0,1 %)</w:t>
      </w:r>
    </w:p>
    <w:p>
      <w:pPr>
        <w:pStyle w:val="Normal"/>
        <w:spacing w:before="10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Komplikácie špecifické pre tento výkon: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Non-responders – absencia účinku na krvný tlak (cca 30–40 % pacientov); výkon sa nedá zopakovať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Paradoxný vzostup krvného tlaku u ojedinelých pacientov (vzácne)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Dlhodobý účinok na krvný tlak nie je definitívne stanovený – sledovania trvajú maximálne 3 roky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Alternatívne možnosti liečby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Konzervatívna liečba: </w:t>
      </w:r>
      <w:r>
        <w:rPr>
          <w:sz w:val="22"/>
          <w:szCs w:val="22"/>
        </w:rPr>
        <w:t xml:space="preserve">Optimalizácia antihypertenzívnej farmakoterapie – pridanie spironolaktónu (klinické štúdie ho považujú za najprinosnejší 4. liek), klonidínu alebo alfa-blokátora. Prísna diéta s obmedzením soli (&lt; 5 g/deň), pohybová aktivita, redukcia hmotnosti.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Alternatívny výkon: </w:t>
      </w:r>
      <w:r>
        <w:rPr>
          <w:sz w:val="22"/>
          <w:szCs w:val="22"/>
        </w:rPr>
        <w:t xml:space="preserve">Stimulácia baroreceptorov karotického sínusu (baroreflex activation therapy – BAT) – neuromodulačná liečba implantovateľným zariadením pri extrémne rezistentnej hypertenzii; menej dostupná a invazívnejšia metóda.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Odmietnutie liečby: </w:t>
      </w:r>
      <w:r>
        <w:rPr>
          <w:sz w:val="22"/>
          <w:szCs w:val="22"/>
        </w:rPr>
        <w:t xml:space="preserve">Nekontrolovaná rezistentná hypertenzia výrazne zvyšuje riziko cievnej mozgovej príhody (3–4x), srdcovej nedostatočnosti, infarktu myokardu a renálneho zlyhania.</w:t>
      </w: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Pooperačný priebeh a sledovanie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Ambulantný výkon alebo krátkodobá hospitalizácia (1 noc); monitorovanie TK 4 hodiny po výkone.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Pokračovanie existujúcej antihypertenzívnej liečby; úprava dávkovania na základe odpovede za 4–6 týždňov.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Kontrolné CT renálnych tepien alebo duplexný ultrazvuk po 1 mesiaci.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Ambulantná monitorácia TK (ABPM) po 3 a 6 mesiacoch na hodnotenie odpovede.</w:t>
      </w:r>
    </w:p>
    <w:p>
      <w:pPr>
        <w:spacing w:after="8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Informácie o kontrastnej (röntgenovej) látke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Na zobrazenie ciev počas výkonu je nevyhnutné podanie jódovej kontrastnej látky priamo do tepien.</w:t>
      </w:r>
    </w:p>
    <w:p>
      <w:pPr>
        <w:pStyle w:val="Normal"/>
        <w:spacing w:before="80" w:after="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Prosím, informujte svojho lekára, ak: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Ste niekedy mali alergickú reakciu na kontrastnú látku.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Trpíte astmou alebo závažnými alergiami.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obličiek alebo cukrovku.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Užívate metformín (napr. Glucophage, Siofor).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ochorenie štítnej žľazy.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Máte závažné srdcové ochorenie.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Riziká spojené s podaním kontrastnej látky: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Alergické reakcie: </w:t>
      </w:r>
      <w:r>
        <w:rPr>
          <w:sz w:val="22"/>
          <w:szCs w:val="22"/>
        </w:rPr>
        <w:t xml:space="preserve">Mierne reakcie (žihľavka, svrbenie, nevoľnosť) sa vyskytujú u cca 0,6 % pacientov. Závažné reakcie (ťažkosti s dýchaním, pokles tlaku) sú vzácne (0,04 %), ale môžu byť život ohrozujúce. Pri predchádzajúcej reakcii na kontrastnú látku je riziko cca 5× vyššie – v takom prípade budú podané ochranné lieky, ktoré riziko znižujú, ale nemôžu ho úplne vylúčiť.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Poškodenie obličiek: </w:t>
      </w:r>
      <w:r>
        <w:rPr>
          <w:sz w:val="22"/>
          <w:szCs w:val="22"/>
        </w:rPr>
        <w:t xml:space="preserve">Vyskytuje sa u cca 2,6 % pacientov po tomto type výkonu. Prejavuje sa zhoršením funkcie obličiek, vzácne môže byť potrebná dočasná dialýza. Riziko je vyššie u pacientov s existujúcim ochorením obličiek, cukrovkou a vyšším vekom.</w:t>
      </w:r>
    </w:p>
    <w:p>
      <w:pPr>
        <w:pStyle w:val="Normal"/>
        <w:spacing w:before="0" w:after="80"/>
        <w:jc w:val="both"/>
      </w:pPr>
      <w:r>
        <w:rPr>
          <w:b/>
          <w:sz w:val="22"/>
          <w:szCs w:val="22"/>
        </w:rPr>
        <w:t xml:space="preserve">Vplyv na štítnu žľazu: </w:t>
      </w:r>
      <w:r>
        <w:rPr>
          <w:sz w:val="22"/>
          <w:szCs w:val="22"/>
        </w:rPr>
        <w:t xml:space="preserve">U predisponovaných jedincov môže jód vzácne vyvolať poruchu funkcie štítnej žľazy.</w:t>
      </w:r>
    </w:p>
    <w:p>
      <w:pPr>
        <w:pStyle w:val="Normal"/>
        <w:spacing w:before="120" w:after="60"/>
        <w:jc w:val="left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Ochranné opatrenia: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Pred výkonom bude vyšetrená funkcia obličiek.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Budete dostatočne hydratovaný/á (tekutiny do žily).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Ak užívate metformín a máte zníženú funkciu obličiek, bude dočasne vysadený.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Množstvo kontrastnej látky bude minimalizované.</w:t>
      </w:r>
    </w:p>
    <w:p>
      <w:pPr>
        <w:pStyle w:val="Normal"/>
        <w:numPr>
          <w:ilvl w:val="0"/>
          <w:numId w:val="3"/>
        </w:numPr>
        <w:spacing w:before="0" w:after="60"/>
        <w:ind w:start="360" w:hanging="360"/>
      </w:pPr>
      <w:r>
        <w:rPr>
          <w:sz w:val="22"/>
          <w:szCs w:val="22"/>
        </w:rPr>
        <w:t xml:space="preserve">Funkcia obličiek bude kontrolovaná 48–72 hodín po výkone.</w:t>
      </w:r>
    </w:p>
    <w:p>
      <w:pPr>
        <w:spacing w:after="80"/>
      </w:pPr>
    </w:p>
    <w:p>
      <w:pPr>
        <w:spacing w:after="16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pacienta</w:t>
      </w:r>
    </w:p>
    <w:p>
      <w:pPr>
        <w:pStyle w:val="Normal"/>
        <w:spacing w:before="0" w:after="10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Vlastnoručným podpisom tohto dokumentu potvrdzujem, že: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zrozumiteľne informovaný/á o povahe, účele, priebehu a predpokladanom trvaní navrhovaného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možných rizikách, komplikáciách a nežiaducich účinkoch vrátane zriedkavých a závažných.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alternatívnych možnostiach liečby a o dôsledkoch odmietnutia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pooperačnom režime vrátane potreby dlhodobej antikoagulačnej liečby a pravidelného sledovania.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Rozumiem, že počas výkonu môže byť na základe aktuálneho nálezu rozhodnuté o zavedení cudzieho materiálu, a s týmto postupom súhlasím.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dostatočný čas si tento informovaný súhlas prečítať, porozumieť jeho obsahu a slobodne sa rozhodnúť.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Mal/a som možnosť klásť otázky a všetky moje otázky boli zodpovedané.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Súhlasím s podaním kontrastnej látky, trombolytika a ďalších liekov potrebných na vykonanie výkonu.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Tento súhlas udeľujem dobrovoľne, bez nátlaku, a som si vedomý/á, že ho môžem kedykoľvek pred začiatkom výkonu odvolať.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rizikách spojených s podaním jódovej kontrastnej látky vrátane alergickej reakcie, poškodenia obličiek a vplyvu na štítnu žľazu. Informoval/a som lekára o všetkých svojich alergiách, ochoreniach obličiek, cukrovke, ochoreniach štítnej žľazy a užívaných liekoch.</w:t>
      </w:r>
    </w:p>
    <w:p>
      <w:pPr>
        <w:pStyle w:val="Normal"/>
        <w:spacing w:before="0" w:after="80"/>
        <w:ind w:start="360" w:hanging="360"/>
        <w:jc w:val="both"/>
      </w:pPr>
      <w:r>
        <w:rPr>
          <w:sz w:val="22"/>
          <w:szCs w:val="22"/>
        </w:rPr>
        <w:t xml:space="preserve">☐  Bol/a som informovaný/á o potrebe vysadenia metformínu (ak ho užívam) a ďalších liekov pred výkonom podľa pokynov lekára.</w:t>
      </w:r>
    </w:p>
    <w:p>
      <w:pPr>
        <w:spacing w:after="120"/>
      </w:pPr>
    </w:p>
    <w:p>
      <w:pPr>
        <w:pStyle w:val="Normal"/>
        <w:spacing w:before="0" w:after="200"/>
        <w:jc w:val="both"/>
        <w:rPr>
          <w:sz w:val="22"/>
          <w:szCs w:val="22"/>
          <w:b/>
        </w:rPr>
      </w:pPr>
      <w:r>
        <w:rPr>
          <w:sz w:val="22"/>
          <w:szCs w:val="22"/>
          <w:b/>
        </w:rPr>
        <w:t xml:space="preserve">Na základe vyššie uvedených informácií slobodne a dobrovoľne súhlasím s vykonaním navrhovaného výkonu.</w:t>
      </w:r>
    </w:p>
    <w:p>
      <w:pPr>
        <w:pStyle w:val="Normal"/>
        <w:spacing w:before="360" w:after="80"/>
      </w:pPr>
      <w:r>
        <w:rPr>
          <w:b/>
          <w:sz w:val="22"/>
        </w:rPr>
        <w:t xml:space="preserve">Podpis pacienta: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zákonného zástupcu (ak relevantné):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p>
      <w:pPr>
        <w:spacing w:after="200"/>
      </w:pPr>
    </w:p>
    <w:p>
      <w:pPr>
        <w:pStyle w:val="Heading2"/>
        <w:numPr>
          <w:ilvl w:val="0"/>
          <w:numId w:val="3"/>
        </w:numPr>
        <w:spacing w:before="180" w:after="60"/>
      </w:pPr>
      <w:r>
        <w:rPr>
          <w:b/>
          <w:sz w:val="24"/>
        </w:rPr>
        <w:t xml:space="preserve">Vyhlásenie lekára</w:t>
      </w:r>
    </w:p>
    <w:p>
      <w:pPr>
        <w:pStyle w:val="Normal"/>
        <w:spacing w:before="0" w:after="12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Potvrdzujem, že som pacientovi/pacientke poskytol/la úplné a zrozumiteľné informácie o navrhovanom výkone, jeho rizikách, prínosoch a alternatívach v zmysle §6 zákona č. 576/2004 Z.z. Pacient/ka mal/a dostatočný čas na zváženie informácií a kladenie otázok. Podľa môjho najlepšieho vedomia má pacient/ka kapacitu pochopiť poskytnuté informácie a urobiť slobodné informované rozhodnutie.</w:t>
      </w:r>
    </w:p>
    <w:p>
      <w:pPr>
        <w:spacing w:after="200"/>
      </w:pPr>
    </w:p>
    <w:p>
      <w:pPr>
        <w:pStyle w:val="Normal"/>
        <w:spacing w:before="360" w:after="80"/>
      </w:pPr>
      <w:r>
        <w:rPr>
          <w:b/>
          <w:sz w:val="22"/>
        </w:rPr>
        <w:t xml:space="preserve">Podpis lekára: </w:t>
      </w:r>
      <w:r>
        <w:rPr>
          <w:sz w:val="22"/>
        </w:rPr>
        <w:t xml:space="preserve">_________________________       </w:t>
      </w:r>
      <w:r>
        <w:rPr>
          <w:b/>
          <w:sz w:val="22"/>
        </w:rPr>
        <w:t xml:space="preserve">Podpis svedka: </w:t>
      </w:r>
      <w:r>
        <w:rPr>
          <w:sz w:val="22"/>
        </w:rPr>
        <w:t>_________________________</w:t>
      </w:r>
    </w:p>
    <w:p>
      <w:pPr>
        <w:pStyle w:val="Normal"/>
        <w:spacing w:after="60"/>
      </w:pPr>
      <w:r>
        <w:rPr>
          <w:b/>
          <w:sz w:val="22"/>
        </w:rPr>
        <w:t xml:space="preserve">Dátum a čas: </w:t>
      </w:r>
      <w:r>
        <w:rPr>
          <w:sz w:val="22"/>
        </w:rPr>
        <w:t>___________________</w:t>
      </w:r>
    </w:p>
    <w:sectPr>
      <w:headerReference w:type="default" r:id="rId2"/>
      <w:type w:val="nextPage"/>
      <w:pgSz w:w="11906" w:h="16838"/>
      <w:pgMar w:left="851" w:right="851" w:gutter="0" w:header="420" w:top="476" w:footer="0" w:bottom="42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ee" w:characterSet="windows-1250"/>
    <w:family w:val="roman"/>
    <w:pitch w:val="variable"/>
  </w:font>
  <w:font w:name="ZapfCalligr AT">
    <w:altName w:val="Times New Roman"/>
    <w:charset w:val="00" w:characterSet="windows-1252"/>
    <w:family w:val="auto"/>
    <w:pitch w:val="variable"/>
  </w:font>
  <w:font w:name="Arial Narrow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Tahoma">
    <w:charset w:val="ee" w:characterSet="windows-1250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632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851"/>
      <w:gridCol w:w="2410"/>
      <w:gridCol w:w="7371"/>
    </w:tblGrid>
    <w:tr>
      <w:trPr/>
      <w:tc>
        <w:tcPr>
          <w:tcW w:w="3261" w:type="dxa"/>
          <w:gridSpan w:val="2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 xml:space="preserve">Strana 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PAGE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t>/</w:t>
          </w:r>
          <w:r>
            <w:rPr>
              <w:rStyle w:val="PageNumber"/>
              <w:rFonts w:cs="Arial Narrow" w:ascii="Arial Narrow" w:hAnsi="Arial Narrow"/>
              <w:sz w:val="16"/>
              <w:lang w:val="cs-CZ"/>
            </w:rPr>
            <w:fldChar w:fldCharType="begin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instrText xml:space="preserve"> NUMPAGES \* ARABIC </w:instrTex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separate"/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t>2</w:t>
          </w:r>
          <w:r>
            <w:rPr>
              <w:rStyle w:val="PageNumber"/>
              <w:sz w:val="16"/>
              <w:rFonts w:cs="Arial Narrow" w:ascii="Arial Narrow" w:hAnsi="Arial Narrow"/>
              <w:lang w:val="cs-CZ"/>
            </w:rPr>
            <w:fldChar w:fldCharType="end"/>
          </w:r>
        </w:p>
      </w:tc>
      <w:tc>
        <w:tcPr>
          <w:tcW w:w="7371" w:type="dxa"/>
          <w:tcBorders>
            <w:bottom w:val="single" w:sz="4" w:space="0" w:color="000000"/>
          </w:tcBorders>
        </w:tcPr>
        <w:p>
          <w:pPr>
            <w:pStyle w:val="Normal"/>
            <w:rPr>
              <w:rFonts w:ascii="Arial Narrow" w:hAnsi="Arial Narrow" w:cs="Arial Narrow"/>
              <w:sz w:val="16"/>
            </w:rPr>
          </w:pPr>
          <w:r>
            <w:rPr>
              <w:rFonts w:cs="Arial Narrow" w:ascii="Arial Narrow" w:hAnsi="Arial Narrow"/>
              <w:sz w:val="16"/>
            </w:rPr>
            <w:t>Platnosť od : 01.08.2026                                                                                                                                          F. 103a.4</w:t>
          </w:r>
        </w:p>
      </w:tc>
    </w:tr>
    <w:tr>
      <w:trPr>
        <w:trHeight w:val="1110" w:hRule="atLeast"/>
        <w:cantSplit w:val="true"/>
      </w:trPr>
      <w:tc>
        <w:tcPr>
          <w:tcW w:w="851" w:type="dxa"/>
          <w:tcBorders>
            <w:top w:val="single" w:sz="4" w:space="0" w:color="000000"/>
            <w:start w:val="single" w:sz="4" w:space="0" w:color="000000"/>
            <w:bottom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60" w:after="60"/>
            <w:ind w:hanging="0" w:start="0"/>
            <w:jc w:val="center"/>
            <w:rPr>
              <w:sz w:val="16"/>
            </w:rPr>
          </w:pPr>
          <w:r>
            <w:rPr/>
            <w:drawing>
              <wp:inline distT="0" distB="0" distL="0" distR="0">
                <wp:extent cx="461645" cy="619125"/>
                <wp:effectExtent l="0" t="0" r="0" b="0"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16" t="-12" r="-16" b="-1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645" cy="619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10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ing2"/>
            <w:numPr>
              <w:ilvl w:val="0"/>
              <w:numId w:val="0"/>
            </w:numPr>
            <w:spacing w:before="120" w:after="0"/>
            <w:ind w:hanging="0" w:start="0"/>
            <w:jc w:val="center"/>
            <w:rPr>
              <w:sz w:val="20"/>
            </w:rPr>
          </w:pPr>
          <w:r>
            <w:rPr>
              <w:sz w:val="20"/>
            </w:rPr>
            <w:t>Národný  ústav srdcových a cievnych chorôb, a.s.</w:t>
          </w:r>
        </w:p>
      </w:tc>
      <w:tc>
        <w:tcPr>
          <w:tcW w:w="7371" w:type="dxa"/>
          <w:tcBorders>
            <w:top w:val="single" w:sz="4" w:space="0" w:color="000000"/>
            <w:bottom w:val="single" w:sz="4" w:space="0" w:color="000000"/>
            <w:end w:val="single" w:sz="4" w:space="0" w:color="000000"/>
          </w:tcBorders>
          <w:shd w:fill="D8D8D8" w:val="clear"/>
        </w:tcPr>
        <w:p>
          <w:pPr>
            <w:pStyle w:val="Normal"/>
            <w:keepNext w:val="true"/>
            <w:keepLines/>
            <w:spacing w:before="360" w:after="240"/>
            <w:ind w:start="40" w:end="40"/>
            <w:jc w:val="center"/>
            <w:rPr>
              <w:b/>
              <w:color w:val="000000"/>
              <w:sz w:val="24"/>
            </w:rPr>
          </w:pPr>
          <w:r>
            <w:rPr>
              <w:b/>
              <w:caps/>
              <w:sz w:val="24"/>
              <w:szCs w:val="24"/>
            </w:rPr>
            <w:t>INFORMOVANÝ SÚHLAS PACIENTA – RENÁLNA DENERVÁCIA PRI REZISTENTNEJ HYPERTENZII</w:t>
          </w:r>
        </w:p>
        <w:p>
          <w:pPr>
            <w:pStyle w:val="Normal"/>
            <w:spacing w:before="0" w:after="140"/>
            <w:ind w:start="40" w:end="40"/>
            <w:jc w:val="center"/>
          </w:pPr>
          <w:r>
            <w:rPr>
              <w:i/>
              <w:color w:val="333333"/>
              <w:sz w:val="16"/>
              <w:szCs w:val="16"/>
            </w:rPr>
            <w:t>Poučenie podľa §6 zákona č. 576/2004 Z.z. o zdravotnej starostlivosti, službách súvisiacich s poskytovaním zdravotnej starostlivosti a o zmene a doplnení niektorých zákonov (plánovaný výkon – zrozumiteľne laicky)</w:t>
          </w:r>
        </w:p>
      </w:tc>
    </w:tr>
  </w:tbl>
  <w:p>
    <w:pPr>
      <w:pStyle w:val="Header"/>
      <w:rPr>
        <w:sz w:val="4"/>
        <w:lang w:val="sk-SK"/>
      </w:rPr>
    </w:pPr>
    <w:r>
      <w:rPr>
        <w:sz w:val="4"/>
        <w:lang w:val="sk-SK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start"/>
      <w:pPr>
        <w:tabs>
          <w:tab w:val="num" w:pos="705"/>
        </w:tabs>
        <w:ind w:start="705" w:hanging="705"/>
      </w:pPr>
      <w:rPr>
        <w:caps/>
        <w:outline w:val="false"/>
        <w:dstrike w:val="false"/>
        <w:strike w:val="false"/>
        <w:vertAlign w:val="baseline"/>
        <w:position w:val="0"/>
        <w:sz w:val="24"/>
        <w:shadow w:val="false"/>
        <w:vanish w:val="false"/>
      </w:rPr>
    </w:lvl>
    <w:lvl w:ilvl="1">
      <w:start w:val="1"/>
      <w:pStyle w:val="Heading2"/>
      <w:numFmt w:val="decimal"/>
      <w:lvlText w:val="%1.%2"/>
      <w:lvlJc w:val="start"/>
      <w:pPr>
        <w:tabs>
          <w:tab w:val="num" w:pos="705"/>
        </w:tabs>
        <w:ind w:start="705" w:hanging="705"/>
      </w:pPr>
      <w:rPr/>
    </w:lvl>
    <w:lvl w:ilvl="2">
      <w:start w:val="1"/>
      <w:pStyle w:val="Heading3"/>
      <w:numFmt w:val="decimal"/>
      <w:lvlText w:val="%1.%2.%3"/>
      <w:lvlJc w:val="start"/>
      <w:pPr>
        <w:tabs>
          <w:tab w:val="num" w:pos="720"/>
        </w:tabs>
        <w:ind w:start="720" w:hanging="720"/>
      </w:pPr>
      <w:rPr/>
    </w:lvl>
    <w:lvl w:ilvl="3">
      <w:start w:val="1"/>
      <w:pStyle w:val="Heading4"/>
      <w:numFmt w:val="decimal"/>
      <w:suff w:val="space"/>
      <w:lvlText w:val="%1.%2.%3.%4"/>
      <w:lvlJc w:val="start"/>
      <w:pPr>
        <w:tabs>
          <w:tab w:val="num" w:pos="0"/>
        </w:tabs>
        <w:ind w:start="720" w:hanging="720"/>
      </w:pPr>
      <w:rPr/>
    </w:lvl>
    <w:lvl w:ilvl="4">
      <w:start w:val="1"/>
      <w:numFmt w:val="decimal"/>
      <w:lvlText w:val="%1.%2.%3.%4"/>
      <w:lvlJc w:val="start"/>
      <w:pPr>
        <w:tabs>
          <w:tab w:val="num" w:pos="1080"/>
        </w:tabs>
        <w:ind w:start="1080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1080"/>
        </w:tabs>
        <w:ind w:start="1080" w:hanging="1080"/>
      </w:pPr>
      <w:rPr/>
    </w:lvl>
    <w:lvl w:ilvl="6">
      <w:start w:val="1"/>
      <w:numFmt w:val="decimal"/>
      <w:lvlText w:val="%1.%2.%3.%4.%5.%6.%7"/>
      <w:lvlJc w:val="start"/>
      <w:pPr>
        <w:tabs>
          <w:tab w:val="num" w:pos="1440"/>
        </w:tabs>
        <w:ind w:start="1440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1440"/>
        </w:tabs>
        <w:ind w:start="1440" w:hanging="144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1800"/>
        </w:tabs>
        <w:ind w:start="1800" w:hanging="180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</w:abstractNum>
  <w:abstractNum w:abstractNumId="3">
    <w:lvl w:ilvl="0">
      <w:start w:val="1"/>
      <w:numFmt w:val="bullet"/>
      <w:lvlText w:val="•"/>
      <w:lvlJc w:val="start"/>
      <w:pPr>
        <w:ind w:start="3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20"/>
      <w:szCs w:val="20"/>
      <w:lang w:val="sk-SK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240" w:after="60"/>
      <w:outlineLvl w:val="0"/>
    </w:pPr>
    <w:rPr>
      <w:b/>
      <w:caps/>
      <w:kern w:val="2"/>
      <w:sz w:val="24"/>
      <w:lang w:val="cs-CZ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120" w:after="0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120" w:after="0"/>
      <w:outlineLvl w:val="3"/>
    </w:pPr>
    <w:rPr>
      <w:sz w:val="22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  <w:rPr/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styleId="WW8Num3z0">
    <w:name w:val="WW8Num3z0"/>
    <w:qFormat/>
    <w:rPr>
      <w:caps/>
      <w:strike w:val="false"/>
      <w:dstrike w:val="false"/>
      <w:outline w:val="false"/>
      <w:shadow w:val="false"/>
      <w:vanish w:val="false"/>
      <w:position w:val="0"/>
      <w:sz w:val="24"/>
      <w:vertAlign w:val="baseline"/>
    </w:rPr>
  </w:style>
  <w:style w:type="character" w:styleId="WW8Num3z1">
    <w:name w:val="WW8Num3z1"/>
    <w:qFormat/>
    <w:rPr/>
  </w:style>
  <w:style w:type="character" w:styleId="Predvolenpsmoodseku">
    <w:name w:val="Predvolené písmo odseku"/>
    <w:qFormat/>
    <w:rPr/>
  </w:style>
  <w:style w:type="character" w:styleId="PageNumber">
    <w:name w:val="Page Number"/>
    <w:basedOn w:val="Predvolenpsmoodseku"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tLeast" w:line="240"/>
    </w:pPr>
    <w:rPr>
      <w:color w:val="000000"/>
      <w:sz w:val="18"/>
      <w:lang w:val="cs-CZ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Popis">
    <w:name w:val="Popis"/>
    <w:basedOn w:val="Normal"/>
    <w:qFormat/>
    <w:pPr/>
    <w:rPr>
      <w:b/>
      <w:lang w:val="cs-CZ"/>
    </w:rPr>
  </w:style>
  <w:style w:type="paragraph" w:styleId="TOC1">
    <w:name w:val="TOC 1"/>
    <w:next w:val="Normal"/>
    <w:pPr>
      <w:widowControl/>
      <w:bidi w:val="0"/>
      <w:spacing w:before="60" w:after="0"/>
    </w:pPr>
    <w:rPr>
      <w:rFonts w:ascii="Arial" w:hAnsi="Arial" w:eastAsia="Times New Roman" w:cs="Arial"/>
      <w:caps/>
      <w:color w:val="auto"/>
      <w:sz w:val="22"/>
      <w:szCs w:val="20"/>
      <w:lang w:val="sk-SK" w:bidi="ar-SA" w:eastAsia="zh-CN"/>
    </w:rPr>
  </w:style>
  <w:style w:type="paragraph" w:styleId="TOC3">
    <w:name w:val="TOC 3"/>
    <w:next w:val="Normal"/>
    <w:pPr>
      <w:widowControl/>
      <w:bidi w:val="0"/>
      <w:ind w:hanging="0" w:start="2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4">
    <w:name w:val="TOC 4"/>
    <w:next w:val="Normal"/>
    <w:pPr>
      <w:widowControl/>
      <w:bidi w:val="0"/>
      <w:ind w:hanging="0" w:start="400" w:end="0"/>
    </w:pPr>
    <w:rPr>
      <w:rFonts w:ascii="Times New Roman" w:hAnsi="Times New Roman" w:eastAsia="Times New Roman" w:cs="Times New Roman"/>
      <w:color w:val="auto"/>
      <w:sz w:val="20"/>
      <w:szCs w:val="20"/>
      <w:lang w:val="sk-SK" w:bidi="ar-SA" w:eastAsia="zh-CN"/>
    </w:rPr>
  </w:style>
  <w:style w:type="paragraph" w:styleId="TOC2">
    <w:name w:val="TOC 2"/>
    <w:basedOn w:val="Normal"/>
    <w:next w:val="Normal"/>
    <w:pPr>
      <w:spacing w:before="240" w:after="0"/>
    </w:pPr>
    <w:rPr>
      <w:rFonts w:ascii="Times New Roman" w:hAnsi="Times New Roman" w:cs="Times New Roman"/>
      <w:b/>
    </w:rPr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>
      <w:lang w:val="cs-CZ"/>
    </w:rPr>
  </w:style>
  <w:style w:type="paragraph" w:styleId="Zarkazkladnhotextu2">
    <w:name w:val="Zarážka základného textu 2"/>
    <w:basedOn w:val="Normal"/>
    <w:qFormat/>
    <w:pPr>
      <w:ind w:hanging="141" w:start="2268" w:end="0"/>
    </w:pPr>
    <w:rPr>
      <w:color w:val="000000"/>
      <w:lang w:val="cs-CZ"/>
    </w:rPr>
  </w:style>
  <w:style w:type="paragraph" w:styleId="Zarkazkladnhotextu3">
    <w:name w:val="Zarážka základného textu 3"/>
    <w:basedOn w:val="Normal"/>
    <w:qFormat/>
    <w:pPr>
      <w:ind w:hanging="142" w:start="426" w:end="0"/>
    </w:pPr>
    <w:rPr>
      <w:color w:val="000000"/>
    </w:rPr>
  </w:style>
  <w:style w:type="paragraph" w:styleId="Zkladntext2">
    <w:name w:val="Základný text 2"/>
    <w:basedOn w:val="Normal"/>
    <w:qFormat/>
    <w:pPr>
      <w:tabs>
        <w:tab w:val="clear" w:pos="708"/>
        <w:tab w:val="left" w:pos="990" w:leader="none"/>
      </w:tabs>
      <w:spacing w:lineRule="atLeast" w:line="240"/>
    </w:pPr>
    <w:rPr>
      <w:color w:val="000000"/>
    </w:rPr>
  </w:style>
  <w:style w:type="paragraph" w:styleId="Zkladntext3">
    <w:name w:val="Základný text 3"/>
    <w:basedOn w:val="Normal"/>
    <w:qFormat/>
    <w:pPr>
      <w:spacing w:lineRule="atLeast" w:line="240"/>
    </w:pPr>
    <w:rPr>
      <w:color w:val="000000"/>
      <w:sz w:val="16"/>
    </w:rPr>
  </w:style>
  <w:style w:type="paragraph" w:styleId="normal3">
    <w:name w:val="normal3"/>
    <w:basedOn w:val="Normal"/>
    <w:qFormat/>
    <w:pPr>
      <w:ind w:hanging="170" w:start="170" w:end="0"/>
    </w:pPr>
    <w:rPr>
      <w:rFonts w:ascii="Times New Roman" w:hAnsi="Times New Roman" w:cs="Times New Roman"/>
    </w:rPr>
  </w:style>
  <w:style w:type="paragraph" w:styleId="02Odsadentext">
    <w:name w:val="02 Odsadený text"/>
    <w:qFormat/>
    <w:pPr>
      <w:widowControl/>
      <w:bidi w:val="0"/>
      <w:spacing w:before="60" w:after="0"/>
      <w:ind w:firstLine="680" w:start="0" w:end="0"/>
      <w:jc w:val="both"/>
    </w:pPr>
    <w:rPr>
      <w:rFonts w:ascii="ZapfCalligr AT;Times New Roman" w:hAnsi="ZapfCalligr AT;Times New Roman" w:eastAsia="Times New Roman" w:cs="ZapfCalligr AT;Times New Roman"/>
      <w:color w:val="auto"/>
      <w:sz w:val="20"/>
      <w:szCs w:val="20"/>
      <w:lang w:val="sk-SK" w:bidi="ar-SA" w:eastAsia="zh-CN"/>
    </w:rPr>
  </w:style>
  <w:style w:type="paragraph" w:styleId="BodyTextIndent">
    <w:name w:val="Body Text Indent"/>
    <w:basedOn w:val="Normal"/>
    <w:pPr>
      <w:tabs>
        <w:tab w:val="clear" w:pos="708"/>
        <w:tab w:val="left" w:pos="23" w:leader="none"/>
        <w:tab w:val="left" w:pos="743" w:leader="none"/>
        <w:tab w:val="left" w:pos="1463" w:leader="none"/>
        <w:tab w:val="left" w:pos="2183" w:leader="none"/>
        <w:tab w:val="left" w:pos="2903" w:leader="none"/>
        <w:tab w:val="left" w:pos="3623" w:leader="none"/>
        <w:tab w:val="left" w:pos="4343" w:leader="none"/>
      </w:tabs>
      <w:spacing w:lineRule="atLeast" w:line="240"/>
      <w:ind w:hanging="0" w:start="23" w:end="0"/>
      <w:jc w:val="both"/>
    </w:pPr>
    <w:rPr>
      <w:rFonts w:ascii="Arial Narrow" w:hAnsi="Arial Narrow" w:cs="Arial Narrow"/>
      <w:color w:val="000000"/>
      <w:spacing w:val="-4"/>
    </w:rPr>
  </w:style>
  <w:style w:type="paragraph" w:styleId="FootStyle2">
    <w:name w:val="Foot Style 2"/>
    <w:basedOn w:val="Footer"/>
    <w:qFormat/>
    <w:pPr>
      <w:tabs>
        <w:tab w:val="clear" w:pos="4536"/>
        <w:tab w:val="clear" w:pos="9072"/>
        <w:tab w:val="left" w:pos="1985" w:leader="none"/>
        <w:tab w:val="right" w:pos="8306" w:leader="none"/>
      </w:tabs>
      <w:spacing w:lineRule="atLeast" w:line="240" w:before="240" w:after="0"/>
    </w:pPr>
    <w:rPr>
      <w:b/>
      <w:sz w:val="24"/>
      <w:lang w:val="en-US"/>
    </w:rPr>
  </w:style>
  <w:style w:type="paragraph" w:styleId="TOC5">
    <w:name w:val="TOC 5"/>
    <w:basedOn w:val="Normal"/>
    <w:next w:val="Normal"/>
    <w:pPr>
      <w:ind w:hanging="0" w:start="600" w:end="0"/>
    </w:pPr>
    <w:rPr>
      <w:rFonts w:ascii="Times New Roman" w:hAnsi="Times New Roman" w:cs="Times New Roman"/>
    </w:rPr>
  </w:style>
  <w:style w:type="paragraph" w:styleId="TOC6">
    <w:name w:val="TOC 6"/>
    <w:basedOn w:val="Normal"/>
    <w:next w:val="Normal"/>
    <w:pPr>
      <w:ind w:hanging="0" w:start="800" w:end="0"/>
    </w:pPr>
    <w:rPr>
      <w:rFonts w:ascii="Times New Roman" w:hAnsi="Times New Roman" w:cs="Times New Roman"/>
    </w:rPr>
  </w:style>
  <w:style w:type="paragraph" w:styleId="TOC7">
    <w:name w:val="TOC 7"/>
    <w:basedOn w:val="Normal"/>
    <w:next w:val="Normal"/>
    <w:pPr>
      <w:ind w:hanging="0" w:start="1000" w:end="0"/>
    </w:pPr>
    <w:rPr>
      <w:rFonts w:ascii="Times New Roman" w:hAnsi="Times New Roman" w:cs="Times New Roman"/>
    </w:rPr>
  </w:style>
  <w:style w:type="paragraph" w:styleId="TOC8">
    <w:name w:val="TOC 8"/>
    <w:basedOn w:val="Normal"/>
    <w:next w:val="Normal"/>
    <w:pPr>
      <w:ind w:hanging="0" w:start="1200" w:end="0"/>
    </w:pPr>
    <w:rPr>
      <w:rFonts w:ascii="Times New Roman" w:hAnsi="Times New Roman" w:cs="Times New Roman"/>
    </w:rPr>
  </w:style>
  <w:style w:type="paragraph" w:styleId="TOC9">
    <w:name w:val="TOC 9"/>
    <w:basedOn w:val="Normal"/>
    <w:next w:val="Normal"/>
    <w:pPr>
      <w:ind w:hanging="0" w:start="1400" w:end="0"/>
    </w:pPr>
    <w:rPr>
      <w:rFonts w:ascii="Times New Roman" w:hAnsi="Times New Roman" w:cs="Times New Roman"/>
    </w:rPr>
  </w:style>
  <w:style w:type="paragraph" w:styleId="Obyajntext">
    <w:name w:val="Obyčajný text"/>
    <w:basedOn w:val="Normal"/>
    <w:qFormat/>
    <w:pPr/>
    <w:rPr>
      <w:rFonts w:ascii="Courier New" w:hAnsi="Courier New" w:cs="Courier New"/>
    </w:rPr>
  </w:style>
  <w:style w:type="paragraph" w:styleId="Normal1">
    <w:name w:val="Normal1"/>
    <w:basedOn w:val="Normal"/>
    <w:qFormat/>
    <w:pPr>
      <w:suppressAutoHyphens w:val="true"/>
      <w:spacing w:lineRule="auto" w:line="228"/>
    </w:pPr>
    <w:rPr>
      <w:rFonts w:ascii="Times New Roman" w:hAnsi="Times New Roman" w:cs="Times New Roman"/>
    </w:rPr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2026-05-26T12:11:00Z</dcterms:created>
  <dc:creator>j.skoupý</dc:creator>
  <dc:description/>
  <cp:keywords/>
  <dc:language>en-US</dc:language>
  <cp:lastModifiedBy>Vincze Lukáš MUDr.</cp:lastModifiedBy>
  <cp:lastPrinted>2008-02-05T11:47:00Z</cp:lastPrinted>
  <dcterms:modified xsi:type="dcterms:W3CDTF">2026-05-26T12:11:00Z</dcterms:modified>
  <cp:revision>2</cp:revision>
  <dc:subject/>
  <dc:title/>
</cp:coreProperties>
</file>