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both"/>
      </w:pPr>
      <w:r>
        <w:rPr>
          <w:b/>
          <w:sz w:val="22"/>
          <w:szCs w:val="22"/>
        </w:rPr>
        <w:t xml:space="preserve">Meno pacienta: </w:t>
      </w:r>
      <w:r>
        <w:rPr>
          <w:sz w:val="22"/>
          <w:szCs w:val="22"/>
        </w:rPr>
        <w:t xml:space="preserve">_______________________________   </w:t>
      </w:r>
      <w:r>
        <w:rPr>
          <w:b/>
          <w:sz w:val="22"/>
          <w:szCs w:val="22"/>
        </w:rPr>
        <w:t xml:space="preserve">Rodné číslo: </w:t>
      </w:r>
      <w:r>
        <w:rPr>
          <w:sz w:val="22"/>
          <w:szCs w:val="22"/>
        </w:rPr>
        <w:t xml:space="preserve">______________________</w:t>
      </w:r>
    </w:p>
    <w:p>
      <w:pPr>
        <w:pStyle w:val="Normal"/>
        <w:spacing w:before="0" w:after="160"/>
        <w:jc w:val="both"/>
      </w:pPr>
      <w:r>
        <w:rPr>
          <w:b/>
          <w:sz w:val="22"/>
          <w:szCs w:val="22"/>
        </w:rPr>
        <w:t xml:space="preserve">Ošetrujúci lekár: </w:t>
      </w:r>
      <w:r>
        <w:rPr>
          <w:sz w:val="22"/>
          <w:szCs w:val="22"/>
        </w:rPr>
        <w:t xml:space="preserve">____________________________   </w:t>
      </w:r>
      <w:r>
        <w:rPr>
          <w:b/>
          <w:sz w:val="22"/>
          <w:szCs w:val="22"/>
        </w:rPr>
        <w:t xml:space="preserve">Dátum: </w:t>
      </w:r>
      <w:r>
        <w:rPr>
          <w:sz w:val="22"/>
          <w:szCs w:val="22"/>
        </w:rPr>
        <w:t xml:space="preserve">______________________________</w:t>
      </w:r>
    </w:p>
    <w:p>
      <w:pPr>
        <w:pStyle w:val="Heading2"/>
        <w:numPr>
          <w:ilvl w:val="0"/>
          <w:numId w:val="3"/>
        </w:numPr>
        <w:spacing w:before="180" w:after="60"/>
      </w:pPr>
      <w:r>
        <w:rPr>
          <w:b/>
          <w:sz w:val="24"/>
        </w:rPr>
        <w:t xml:space="preserve">Diagnóza a dôvod výkonu</w:t>
      </w:r>
    </w:p>
    <w:p>
      <w:pPr>
        <w:pStyle w:val="Normal"/>
        <w:spacing w:before="0" w:after="120"/>
        <w:jc w:val="both"/>
        <w:rPr>
          <w:sz w:val="22"/>
          <w:szCs w:val="22"/>
        </w:rPr>
      </w:pPr>
      <w:r>
        <w:rPr>
          <w:sz w:val="22"/>
          <w:szCs w:val="22"/>
        </w:rPr>
        <w:t xml:space="preserve">U Vás bola diagnostikovaná intrakraniálna aneuryzma (vakovité rozšírenie mozgovej tepny), buď incidentálne alebo po subarachnoideálnom krvácaní (SAK). Neošetrená aneuryzma nesie riziko prasknutia so závažnými neurologickými následkami alebo smrťou. Endovaskulárna liečba (coiling, flow diverter, stent-asistovaný coiling) je navrhovaná ako preferovaná menej invazívna alternatíva neurochirurgického klipsovania.</w:t>
      </w:r>
    </w:p>
    <w:p>
      <w:pPr>
        <w:pStyle w:val="Heading2"/>
        <w:numPr>
          <w:ilvl w:val="0"/>
          <w:numId w:val="3"/>
        </w:numPr>
        <w:spacing w:before="180" w:after="60"/>
      </w:pPr>
      <w:r>
        <w:rPr>
          <w:b/>
          <w:sz w:val="24"/>
        </w:rPr>
        <w:t xml:space="preserve">Popis výkonu</w:t>
      </w:r>
    </w:p>
    <w:p>
      <w:pPr>
        <w:pStyle w:val="Normal"/>
        <w:spacing w:before="0" w:after="120"/>
        <w:jc w:val="both"/>
        <w:rPr>
          <w:sz w:val="22"/>
          <w:szCs w:val="22"/>
        </w:rPr>
      </w:pPr>
      <w:r>
        <w:rPr>
          <w:sz w:val="22"/>
          <w:szCs w:val="22"/>
        </w:rPr>
        <w:t xml:space="preserve">Výkon sa vykonáva v celkovej anestézii na angiografickom pracovisku. Cez vpich do femorálnej tepny v slabine sa katéter naviguje cez krčné tepny do mozgových tepien k miestu aneuryzmy. V závislosti od morfológie aneuryzmy sa použije: coiling – plnenie aneuryzmového vaku platinových špirálami (coily) na indukovanie trombózy vaku; flow diverter – stent v nosičskej tepne, ktorý presmeruje prietok a vyvolá trombózu aneuryzmy; alebo stent-asistovaný coiling pri širokokrčných aneuryzmách. Výkon trvá 1–3 hodiny.</w:t>
      </w:r>
    </w:p>
    <w:p>
      <w:pPr>
        <w:pStyle w:val="Heading2"/>
        <w:numPr>
          <w:ilvl w:val="0"/>
          <w:numId w:val="3"/>
        </w:numPr>
        <w:spacing w:before="180" w:after="60"/>
      </w:pPr>
      <w:r>
        <w:rPr>
          <w:b/>
          <w:sz w:val="24"/>
        </w:rPr>
        <w:t xml:space="preserve">Očakávané prínosy</w:t>
      </w:r>
    </w:p>
    <w:p>
      <w:pPr>
        <w:pStyle w:val="Normal"/>
        <w:numPr>
          <w:ilvl w:val="0"/>
          <w:numId w:val="3"/>
        </w:numPr>
        <w:spacing w:before="0" w:after="60"/>
        <w:ind w:start="360" w:hanging="360"/>
      </w:pPr>
      <w:r>
        <w:rPr>
          <w:sz w:val="22"/>
          <w:szCs w:val="22"/>
        </w:rPr>
        <w:t xml:space="preserve">Vylúčenie alebo výrazná redukcia rizika prasknutia aneuryzmy a subarachnoideálneho krvácania</w:t>
      </w:r>
    </w:p>
    <w:p>
      <w:pPr>
        <w:pStyle w:val="Normal"/>
        <w:numPr>
          <w:ilvl w:val="0"/>
          <w:numId w:val="3"/>
        </w:numPr>
        <w:spacing w:before="0" w:after="60"/>
        <w:ind w:start="360" w:hanging="360"/>
      </w:pPr>
      <w:r>
        <w:rPr>
          <w:sz w:val="22"/>
          <w:szCs w:val="22"/>
        </w:rPr>
        <w:t xml:space="preserve">Menej invazívny postup ako neurochirurgické klipsovanie – bez kraniotómie</w:t>
      </w:r>
    </w:p>
    <w:p>
      <w:pPr>
        <w:pStyle w:val="Normal"/>
        <w:numPr>
          <w:ilvl w:val="0"/>
          <w:numId w:val="3"/>
        </w:numPr>
        <w:spacing w:before="0" w:after="60"/>
        <w:ind w:start="360" w:hanging="360"/>
      </w:pPr>
      <w:r>
        <w:rPr>
          <w:sz w:val="22"/>
          <w:szCs w:val="22"/>
        </w:rPr>
        <w:t xml:space="preserve">Kratšia hospitalizácia a rekonvalescencia</w:t>
      </w:r>
    </w:p>
    <w:p>
      <w:pPr>
        <w:pStyle w:val="Normal"/>
        <w:numPr>
          <w:ilvl w:val="0"/>
          <w:numId w:val="3"/>
        </w:numPr>
        <w:spacing w:before="0" w:after="60"/>
        <w:ind w:start="360" w:hanging="360"/>
      </w:pPr>
      <w:r>
        <w:rPr>
          <w:sz w:val="22"/>
          <w:szCs w:val="22"/>
        </w:rPr>
        <w:t xml:space="preserve">Nižšia incidencia epileptických záchvatov a neurologických deficitov v porovnaní s chirurgiou</w:t>
      </w:r>
    </w:p>
    <w:p>
      <w:pPr>
        <w:spacing w:after="80"/>
      </w:pPr>
    </w:p>
    <w:p>
      <w:pPr>
        <w:pStyle w:val="Heading2"/>
        <w:numPr>
          <w:ilvl w:val="0"/>
          <w:numId w:val="3"/>
        </w:numPr>
        <w:spacing w:before="180" w:after="60"/>
      </w:pPr>
      <w:r>
        <w:rPr>
          <w:b/>
          <w:sz w:val="24"/>
        </w:rPr>
        <w:t xml:space="preserve">Riziká a možné komplikácie</w:t>
      </w:r>
    </w:p>
    <w:p>
      <w:pPr>
        <w:pStyle w:val="Normal"/>
        <w:spacing w:before="0" w:after="120"/>
        <w:jc w:val="both"/>
        <w:rPr>
          <w:sz w:val="22"/>
          <w:szCs w:val="22"/>
        </w:rPr>
      </w:pPr>
      <w:r>
        <w:rPr>
          <w:sz w:val="22"/>
          <w:szCs w:val="22"/>
        </w:rPr>
        <w:t xml:space="preserve">Ako pri každom invazívnom výkone, aj tento zákrok nesie riziká. Medzi najdôležitejšie patria:</w:t>
      </w:r>
    </w:p>
    <w:p>
      <w:pPr>
        <w:pStyle w:val="Normal"/>
        <w:spacing w:before="0" w:after="60"/>
        <w:jc w:val="left"/>
        <w:rPr>
          <w:sz w:val="22"/>
          <w:szCs w:val="22"/>
          <w:b/>
        </w:rPr>
      </w:pPr>
      <w:r>
        <w:rPr>
          <w:sz w:val="22"/>
          <w:szCs w:val="22"/>
          <w:b/>
        </w:rPr>
        <w:t xml:space="preserve">Časté komplikácie:</w:t>
      </w:r>
    </w:p>
    <w:p>
      <w:pPr>
        <w:pStyle w:val="Normal"/>
        <w:numPr>
          <w:ilvl w:val="0"/>
          <w:numId w:val="3"/>
        </w:numPr>
        <w:spacing w:before="0" w:after="60"/>
        <w:ind w:start="360" w:hanging="360"/>
      </w:pPr>
      <w:r>
        <w:rPr>
          <w:sz w:val="22"/>
          <w:szCs w:val="22"/>
        </w:rPr>
        <w:t xml:space="preserve">Hematóm alebo krvácanie v mieste prístupu v slabine (cca 1–3 %)</w:t>
      </w:r>
    </w:p>
    <w:p>
      <w:pPr>
        <w:pStyle w:val="Normal"/>
        <w:numPr>
          <w:ilvl w:val="0"/>
          <w:numId w:val="3"/>
        </w:numPr>
        <w:spacing w:before="0" w:after="60"/>
        <w:ind w:start="360" w:hanging="360"/>
      </w:pPr>
      <w:r>
        <w:rPr>
          <w:sz w:val="22"/>
          <w:szCs w:val="22"/>
        </w:rPr>
        <w:t xml:space="preserve">Bolesti hlavy bezprostredne po výkone</w:t>
      </w:r>
    </w:p>
    <w:p>
      <w:pPr>
        <w:pStyle w:val="Normal"/>
        <w:numPr>
          <w:ilvl w:val="0"/>
          <w:numId w:val="3"/>
        </w:numPr>
        <w:spacing w:before="0" w:after="60"/>
        <w:ind w:start="360" w:hanging="360"/>
      </w:pPr>
      <w:r>
        <w:rPr>
          <w:sz w:val="22"/>
          <w:szCs w:val="22"/>
        </w:rPr>
        <w:t xml:space="preserve">Dočasné neurologické príznaky pri manipulácii v mozgových tepnách</w:t>
      </w:r>
    </w:p>
    <w:p>
      <w:pPr>
        <w:pStyle w:val="Normal"/>
        <w:spacing w:before="100" w:after="60"/>
        <w:jc w:val="left"/>
        <w:rPr>
          <w:sz w:val="22"/>
          <w:szCs w:val="22"/>
          <w:b/>
        </w:rPr>
      </w:pPr>
      <w:r>
        <w:rPr>
          <w:sz w:val="22"/>
          <w:szCs w:val="22"/>
          <w:b/>
        </w:rPr>
        <w:t xml:space="preserve">Menej časté, ale závažné komplikácie:</w:t>
      </w:r>
    </w:p>
    <w:p>
      <w:pPr>
        <w:pStyle w:val="Normal"/>
        <w:numPr>
          <w:ilvl w:val="0"/>
          <w:numId w:val="3"/>
        </w:numPr>
        <w:spacing w:before="0" w:after="60"/>
        <w:ind w:start="360" w:hanging="360"/>
      </w:pPr>
      <w:r>
        <w:rPr>
          <w:sz w:val="22"/>
          <w:szCs w:val="22"/>
        </w:rPr>
        <w:t xml:space="preserve">Peroperačné prasknutie aneuryzmy s intrakraniálnym krvácaním (cca 1–4 %)</w:t>
      </w:r>
    </w:p>
    <w:p>
      <w:pPr>
        <w:pStyle w:val="Normal"/>
        <w:numPr>
          <w:ilvl w:val="0"/>
          <w:numId w:val="3"/>
        </w:numPr>
        <w:spacing w:before="0" w:after="60"/>
        <w:ind w:start="360" w:hanging="360"/>
      </w:pPr>
      <w:r>
        <w:rPr>
          <w:sz w:val="22"/>
          <w:szCs w:val="22"/>
        </w:rPr>
        <w:t xml:space="preserve">Tromboembolické komplikácie – ischemická CMP (cca 2–5 %)</w:t>
      </w:r>
    </w:p>
    <w:p>
      <w:pPr>
        <w:pStyle w:val="Normal"/>
        <w:numPr>
          <w:ilvl w:val="0"/>
          <w:numId w:val="3"/>
        </w:numPr>
        <w:spacing w:before="0" w:after="60"/>
        <w:ind w:start="360" w:hanging="360"/>
      </w:pPr>
      <w:r>
        <w:rPr>
          <w:sz w:val="22"/>
          <w:szCs w:val="22"/>
        </w:rPr>
        <w:t xml:space="preserve">Disekcia alebo poranenie nosičskej mozgovej tepny (cca 0,5–1 %)</w:t>
      </w:r>
    </w:p>
    <w:p>
      <w:pPr>
        <w:pStyle w:val="Normal"/>
        <w:numPr>
          <w:ilvl w:val="0"/>
          <w:numId w:val="3"/>
        </w:numPr>
        <w:spacing w:before="0" w:after="60"/>
        <w:ind w:start="360" w:hanging="360"/>
      </w:pPr>
      <w:r>
        <w:rPr>
          <w:sz w:val="22"/>
          <w:szCs w:val="22"/>
        </w:rPr>
        <w:t xml:space="preserve">Neurologický deficit vrátane obrny hlavových nervov (cca 1–3 %)</w:t>
      </w:r>
    </w:p>
    <w:p>
      <w:pPr>
        <w:pStyle w:val="Normal"/>
        <w:numPr>
          <w:ilvl w:val="0"/>
          <w:numId w:val="3"/>
        </w:numPr>
        <w:spacing w:before="0" w:after="60"/>
        <w:ind w:start="360" w:hanging="360"/>
      </w:pPr>
      <w:r>
        <w:rPr>
          <w:sz w:val="22"/>
          <w:szCs w:val="22"/>
        </w:rPr>
        <w:t xml:space="preserve">Alergická reakcia na kontrastnú látku alebo liečivový povlak stentu</w:t>
      </w:r>
    </w:p>
    <w:p>
      <w:pPr>
        <w:pStyle w:val="Normal"/>
        <w:numPr>
          <w:ilvl w:val="0"/>
          <w:numId w:val="3"/>
        </w:numPr>
        <w:spacing w:before="0" w:after="60"/>
        <w:ind w:start="360" w:hanging="360"/>
      </w:pPr>
      <w:r>
        <w:rPr>
          <w:sz w:val="22"/>
          <w:szCs w:val="22"/>
        </w:rPr>
        <w:t xml:space="preserve">Smrť – celková mortalita výkonu cca 0,5–2 % pri neprasknutých aneuryzmách</w:t>
      </w:r>
    </w:p>
    <w:p>
      <w:pPr>
        <w:pStyle w:val="Normal"/>
        <w:spacing w:before="100" w:after="60"/>
        <w:jc w:val="left"/>
        <w:rPr>
          <w:sz w:val="22"/>
          <w:szCs w:val="22"/>
          <w:b/>
        </w:rPr>
      </w:pPr>
      <w:r>
        <w:rPr>
          <w:sz w:val="22"/>
          <w:szCs w:val="22"/>
          <w:b/>
        </w:rPr>
        <w:t xml:space="preserve">Komplikácie špecifické pre tento výkon:</w:t>
      </w:r>
    </w:p>
    <w:p>
      <w:pPr>
        <w:pStyle w:val="Normal"/>
        <w:numPr>
          <w:ilvl w:val="0"/>
          <w:numId w:val="3"/>
        </w:numPr>
        <w:spacing w:before="0" w:after="60"/>
        <w:ind w:start="360" w:hanging="360"/>
      </w:pPr>
      <w:r>
        <w:rPr>
          <w:sz w:val="22"/>
          <w:szCs w:val="22"/>
        </w:rPr>
        <w:t xml:space="preserve">Rekanalizácia aneuryzmy – čiastočná alebo úplná obnova prietoku do vaku po coilingu (cca 15–30 % do 5 rokov) – riziko opätovného krvácania; možno riešiť opakovanou embolizáciou</w:t>
      </w:r>
    </w:p>
    <w:p>
      <w:pPr>
        <w:pStyle w:val="Normal"/>
        <w:numPr>
          <w:ilvl w:val="0"/>
          <w:numId w:val="3"/>
        </w:numPr>
        <w:spacing w:before="0" w:after="60"/>
        <w:ind w:start="360" w:hanging="360"/>
      </w:pPr>
      <w:r>
        <w:rPr>
          <w:sz w:val="22"/>
          <w:szCs w:val="22"/>
        </w:rPr>
        <w:t xml:space="preserve">Trombóza flow diverteru (cca 2–3 %) alebo oklúzia bočných tepien krytých flow diverterom</w:t>
      </w:r>
    </w:p>
    <w:p>
      <w:pPr>
        <w:pStyle w:val="Normal"/>
        <w:numPr>
          <w:ilvl w:val="0"/>
          <w:numId w:val="3"/>
        </w:numPr>
        <w:spacing w:before="0" w:after="60"/>
        <w:ind w:start="360" w:hanging="360"/>
      </w:pPr>
      <w:r>
        <w:rPr>
          <w:sz w:val="22"/>
          <w:szCs w:val="22"/>
        </w:rPr>
        <w:t xml:space="preserve">Neskoré prasknutie aneuryzmy po flow diverzii počas remodellingu (vzácne, &lt; 1 %)</w:t>
      </w:r>
    </w:p>
    <w:p>
      <w:pPr>
        <w:spacing w:after="80"/>
      </w:pPr>
    </w:p>
    <w:p>
      <w:pPr>
        <w:pStyle w:val="Heading2"/>
        <w:numPr>
          <w:ilvl w:val="0"/>
          <w:numId w:val="3"/>
        </w:numPr>
        <w:spacing w:before="180" w:after="60"/>
      </w:pPr>
      <w:r>
        <w:rPr>
          <w:b/>
          <w:sz w:val="24"/>
        </w:rPr>
        <w:t xml:space="preserve">Alternatívne možnosti liečby</w:t>
      </w:r>
    </w:p>
    <w:p>
      <w:pPr>
        <w:pStyle w:val="Normal"/>
        <w:spacing w:before="0" w:after="80"/>
        <w:jc w:val="both"/>
      </w:pPr>
      <w:r>
        <w:rPr>
          <w:b/>
          <w:sz w:val="22"/>
          <w:szCs w:val="22"/>
        </w:rPr>
        <w:t xml:space="preserve">Konzervatívna liečba: </w:t>
      </w:r>
      <w:r>
        <w:rPr>
          <w:sz w:val="22"/>
          <w:szCs w:val="22"/>
        </w:rPr>
        <w:t xml:space="preserve">Konzervatívne sledovanie malých aneuryziem (&lt; 7 mm) bez SAK v anamnéze – pravidelné MRI/MRA každých 1–2 roky. Prísna kontrola krvného tlaku a absencia fajčenia znižujú riziko rastu. Pri Vašej situácii je riziko prasknutia hodnotené ako dostatočne vysoké na aktívnu liečbu.</w:t>
      </w:r>
    </w:p>
    <w:p>
      <w:pPr>
        <w:pStyle w:val="Normal"/>
        <w:spacing w:before="0" w:after="80"/>
        <w:jc w:val="both"/>
      </w:pPr>
      <w:r>
        <w:rPr>
          <w:b/>
          <w:sz w:val="22"/>
          <w:szCs w:val="22"/>
        </w:rPr>
        <w:t xml:space="preserve">Alternatívny výkon: </w:t>
      </w:r>
      <w:r>
        <w:rPr>
          <w:sz w:val="22"/>
          <w:szCs w:val="22"/>
        </w:rPr>
        <w:t xml:space="preserve">Neurochirurgické klipsovanie aneuryzmy – kraniotómia s priamym prístupom k aneuryzme a aplikácia klipsy na krčok vaku. Definitívna liečba s dlhodobo vyšším percentom kompletnej oklúzie (cca 90–95 %), ale spojená s vyššou procedurálnou morbiditou.</w:t>
      </w:r>
    </w:p>
    <w:p>
      <w:pPr>
        <w:pStyle w:val="Normal"/>
        <w:spacing w:before="0" w:after="80"/>
        <w:jc w:val="both"/>
      </w:pPr>
      <w:r>
        <w:rPr>
          <w:b/>
          <w:sz w:val="22"/>
          <w:szCs w:val="22"/>
        </w:rPr>
        <w:t xml:space="preserve">Odmietnutie liečby: </w:t>
      </w:r>
      <w:r>
        <w:rPr>
          <w:sz w:val="22"/>
          <w:szCs w:val="22"/>
        </w:rPr>
        <w:t xml:space="preserve">Ročné riziko prasknutia neliečenej aneuryzmy závisí od veľkosti a lokalizácie – pohybuje sa od &lt; 0,5 % ročne pre malé aneuryzmy po 3–6 % pri veľkých aneuryzmách alebo aneuryzmách zadnej jamy. Prasknutie je v 10–15 % smrteľné okamžite a u 50 % pacientov vedie k trvalému neurologickému deficitu.</w:t>
      </w:r>
    </w:p>
    <w:p>
      <w:pPr>
        <w:pStyle w:val="Heading2"/>
        <w:numPr>
          <w:ilvl w:val="0"/>
          <w:numId w:val="3"/>
        </w:numPr>
        <w:spacing w:before="180" w:after="60"/>
      </w:pPr>
      <w:r>
        <w:rPr>
          <w:b/>
          <w:sz w:val="24"/>
        </w:rPr>
        <w:t xml:space="preserve">Pooperačný priebeh a sledovanie</w:t>
      </w:r>
    </w:p>
    <w:p>
      <w:pPr>
        <w:pStyle w:val="Normal"/>
        <w:numPr>
          <w:ilvl w:val="0"/>
          <w:numId w:val="3"/>
        </w:numPr>
        <w:spacing w:before="0" w:after="60"/>
        <w:ind w:start="360" w:hanging="360"/>
      </w:pPr>
      <w:r>
        <w:rPr>
          <w:sz w:val="22"/>
          <w:szCs w:val="22"/>
        </w:rPr>
        <w:t xml:space="preserve">Hospitalizácia 1–3 dni pre neprasknuté aneuryzmy; po SAK dlhšie na neurointenzívnej starostlivosti.</w:t>
      </w:r>
    </w:p>
    <w:p>
      <w:pPr>
        <w:pStyle w:val="Normal"/>
        <w:numPr>
          <w:ilvl w:val="0"/>
          <w:numId w:val="3"/>
        </w:numPr>
        <w:spacing w:before="0" w:after="60"/>
        <w:ind w:start="360" w:hanging="360"/>
      </w:pPr>
      <w:r>
        <w:rPr>
          <w:sz w:val="22"/>
          <w:szCs w:val="22"/>
        </w:rPr>
        <w:t xml:space="preserve">Dvojitá antiagregácia (kyselina acetylsalicylová + klopidogrel) min. 3–6 mesiacov pri použití stentu alebo flow diverteru.</w:t>
      </w:r>
    </w:p>
    <w:p>
      <w:pPr>
        <w:pStyle w:val="Normal"/>
        <w:numPr>
          <w:ilvl w:val="0"/>
          <w:numId w:val="3"/>
        </w:numPr>
        <w:spacing w:before="0" w:after="60"/>
        <w:ind w:start="360" w:hanging="360"/>
      </w:pPr>
      <w:r>
        <w:rPr>
          <w:sz w:val="22"/>
          <w:szCs w:val="22"/>
        </w:rPr>
        <w:t xml:space="preserve">Kontrolná mozgová angiografia (DSA) po 6 mesiacoch a 1 roku; MRA následne ročne.</w:t>
      </w:r>
    </w:p>
    <w:p>
      <w:pPr>
        <w:pStyle w:val="Normal"/>
        <w:numPr>
          <w:ilvl w:val="0"/>
          <w:numId w:val="3"/>
        </w:numPr>
        <w:spacing w:before="0" w:after="60"/>
        <w:ind w:start="360" w:hanging="360"/>
      </w:pPr>
      <w:r>
        <w:rPr>
          <w:sz w:val="22"/>
          <w:szCs w:val="22"/>
        </w:rPr>
        <w:t xml:space="preserve">Abstinencia od fajčenia, prísna kontrola krvného tlaku; vyhnutie sa kofeínu a intenzívnej fyzickej záťaži prvé 2 týždne.</w:t>
      </w:r>
    </w:p>
    <w:p>
      <w:pPr>
        <w:spacing w:after="80"/>
      </w:pPr>
    </w:p>
    <w:p>
      <w:pPr>
        <w:pStyle w:val="Heading2"/>
        <w:numPr>
          <w:ilvl w:val="0"/>
          <w:numId w:val="3"/>
        </w:numPr>
        <w:spacing w:before="180" w:after="60"/>
      </w:pPr>
      <w:r>
        <w:rPr>
          <w:b/>
          <w:sz w:val="24"/>
        </w:rPr>
        <w:t xml:space="preserve">Informácie o kontrastnej (röntgenovej) látke</w:t>
      </w:r>
    </w:p>
    <w:p>
      <w:pPr>
        <w:pStyle w:val="Normal"/>
        <w:spacing w:before="0" w:after="120"/>
        <w:jc w:val="both"/>
        <w:rPr>
          <w:sz w:val="22"/>
          <w:szCs w:val="22"/>
        </w:rPr>
      </w:pPr>
      <w:r>
        <w:rPr>
          <w:sz w:val="22"/>
          <w:szCs w:val="22"/>
        </w:rPr>
        <w:t xml:space="preserve">Na zobrazenie ciev počas výkonu je nevyhnutné podanie jódovej kontrastnej látky priamo do tepien.</w:t>
      </w:r>
    </w:p>
    <w:p>
      <w:pPr>
        <w:pStyle w:val="Normal"/>
        <w:spacing w:before="80" w:after="60"/>
        <w:jc w:val="both"/>
        <w:rPr>
          <w:sz w:val="22"/>
          <w:szCs w:val="22"/>
        </w:rPr>
      </w:pPr>
      <w:r>
        <w:rPr>
          <w:sz w:val="22"/>
          <w:szCs w:val="22"/>
        </w:rPr>
        <w:t xml:space="preserve">Prosím, informujte svojho lekára, ak:</w:t>
      </w:r>
    </w:p>
    <w:p>
      <w:pPr>
        <w:pStyle w:val="Normal"/>
        <w:numPr>
          <w:ilvl w:val="0"/>
          <w:numId w:val="3"/>
        </w:numPr>
        <w:spacing w:before="0" w:after="60"/>
        <w:ind w:start="360" w:hanging="360"/>
      </w:pPr>
      <w:r>
        <w:rPr>
          <w:sz w:val="22"/>
          <w:szCs w:val="22"/>
        </w:rPr>
        <w:t xml:space="preserve">Ste niekedy mali alergickú reakciu na kontrastnú látku.</w:t>
      </w:r>
    </w:p>
    <w:p>
      <w:pPr>
        <w:pStyle w:val="Normal"/>
        <w:numPr>
          <w:ilvl w:val="0"/>
          <w:numId w:val="3"/>
        </w:numPr>
        <w:spacing w:before="0" w:after="60"/>
        <w:ind w:start="360" w:hanging="360"/>
      </w:pPr>
      <w:r>
        <w:rPr>
          <w:sz w:val="22"/>
          <w:szCs w:val="22"/>
        </w:rPr>
        <w:t xml:space="preserve">Trpíte astmou alebo závažnými alergiami.</w:t>
      </w:r>
    </w:p>
    <w:p>
      <w:pPr>
        <w:pStyle w:val="Normal"/>
        <w:numPr>
          <w:ilvl w:val="0"/>
          <w:numId w:val="3"/>
        </w:numPr>
        <w:spacing w:before="0" w:after="60"/>
        <w:ind w:start="360" w:hanging="360"/>
      </w:pPr>
      <w:r>
        <w:rPr>
          <w:sz w:val="22"/>
          <w:szCs w:val="22"/>
        </w:rPr>
        <w:t xml:space="preserve">Máte ochorenie obličiek alebo cukrovku.</w:t>
      </w:r>
    </w:p>
    <w:p>
      <w:pPr>
        <w:pStyle w:val="Normal"/>
        <w:numPr>
          <w:ilvl w:val="0"/>
          <w:numId w:val="3"/>
        </w:numPr>
        <w:spacing w:before="0" w:after="60"/>
        <w:ind w:start="360" w:hanging="360"/>
      </w:pPr>
      <w:r>
        <w:rPr>
          <w:sz w:val="22"/>
          <w:szCs w:val="22"/>
        </w:rPr>
        <w:t xml:space="preserve">Užívate metformín (napr. Glucophage, Siofor).</w:t>
      </w:r>
    </w:p>
    <w:p>
      <w:pPr>
        <w:pStyle w:val="Normal"/>
        <w:numPr>
          <w:ilvl w:val="0"/>
          <w:numId w:val="3"/>
        </w:numPr>
        <w:spacing w:before="0" w:after="60"/>
        <w:ind w:start="360" w:hanging="360"/>
      </w:pPr>
      <w:r>
        <w:rPr>
          <w:sz w:val="22"/>
          <w:szCs w:val="22"/>
        </w:rPr>
        <w:t xml:space="preserve">Máte ochorenie štítnej žľazy.</w:t>
      </w:r>
    </w:p>
    <w:p>
      <w:pPr>
        <w:pStyle w:val="Normal"/>
        <w:numPr>
          <w:ilvl w:val="0"/>
          <w:numId w:val="3"/>
        </w:numPr>
        <w:spacing w:before="0" w:after="60"/>
        <w:ind w:start="360" w:hanging="360"/>
      </w:pPr>
      <w:r>
        <w:rPr>
          <w:sz w:val="22"/>
          <w:szCs w:val="22"/>
        </w:rPr>
        <w:t xml:space="preserve">Máte závažné srdcové ochorenie.</w:t>
      </w:r>
    </w:p>
    <w:p>
      <w:pPr>
        <w:pStyle w:val="Normal"/>
        <w:spacing w:before="120" w:after="60"/>
        <w:jc w:val="left"/>
        <w:rPr>
          <w:sz w:val="22"/>
          <w:szCs w:val="22"/>
          <w:b/>
        </w:rPr>
      </w:pPr>
      <w:r>
        <w:rPr>
          <w:sz w:val="22"/>
          <w:szCs w:val="22"/>
          <w:b/>
        </w:rPr>
        <w:t xml:space="preserve">Riziká spojené s podaním kontrastnej látky:</w:t>
      </w:r>
    </w:p>
    <w:p>
      <w:pPr>
        <w:pStyle w:val="Normal"/>
        <w:spacing w:before="0" w:after="80"/>
        <w:jc w:val="both"/>
      </w:pPr>
      <w:r>
        <w:rPr>
          <w:b/>
          <w:sz w:val="22"/>
          <w:szCs w:val="22"/>
        </w:rPr>
        <w:t xml:space="preserve">Alergické reakcie: </w:t>
      </w:r>
      <w:r>
        <w:rPr>
          <w:sz w:val="22"/>
          <w:szCs w:val="22"/>
        </w:rPr>
        <w:t xml:space="preserve">Mierne reakcie (žihľavka, svrbenie, nevoľnosť) sa vyskytujú u cca 0,6 % pacientov. Závažné reakcie (ťažkosti s dýchaním, pokles tlaku) sú vzácne (0,04 %), ale môžu byť život ohrozujúce. Pri predchádzajúcej reakcii na kontrastnú látku je riziko cca 5× vyššie – v takom prípade budú podané ochranné lieky, ktoré riziko znižujú, ale nemôžu ho úplne vylúčiť.</w:t>
      </w:r>
    </w:p>
    <w:p>
      <w:pPr>
        <w:pStyle w:val="Normal"/>
        <w:spacing w:before="0" w:after="80"/>
        <w:jc w:val="both"/>
      </w:pPr>
      <w:r>
        <w:rPr>
          <w:b/>
          <w:sz w:val="22"/>
          <w:szCs w:val="22"/>
        </w:rPr>
        <w:t xml:space="preserve">Poškodenie obličiek: </w:t>
      </w:r>
      <w:r>
        <w:rPr>
          <w:sz w:val="22"/>
          <w:szCs w:val="22"/>
        </w:rPr>
        <w:t xml:space="preserve">Vyskytuje sa u cca 2,6 % pacientov po tomto type výkonu. Prejavuje sa zhoršením funkcie obličiek, vzácne môže byť potrebná dočasná dialýza. Riziko je vyššie u pacientov s existujúcim ochorením obličiek, cukrovkou a vyšším vekom.</w:t>
      </w:r>
    </w:p>
    <w:p>
      <w:pPr>
        <w:pStyle w:val="Normal"/>
        <w:spacing w:before="0" w:after="80"/>
        <w:jc w:val="both"/>
      </w:pPr>
      <w:r>
        <w:rPr>
          <w:b/>
          <w:sz w:val="22"/>
          <w:szCs w:val="22"/>
        </w:rPr>
        <w:t xml:space="preserve">Vplyv na štítnu žľazu: </w:t>
      </w:r>
      <w:r>
        <w:rPr>
          <w:sz w:val="22"/>
          <w:szCs w:val="22"/>
        </w:rPr>
        <w:t xml:space="preserve">U predisponovaných jedincov môže jód vzácne vyvolať poruchu funkcie štítnej žľazy.</w:t>
      </w:r>
    </w:p>
    <w:p>
      <w:pPr>
        <w:pStyle w:val="Normal"/>
        <w:spacing w:before="120" w:after="60"/>
        <w:jc w:val="left"/>
        <w:rPr>
          <w:sz w:val="22"/>
          <w:szCs w:val="22"/>
          <w:b/>
        </w:rPr>
      </w:pPr>
      <w:r>
        <w:rPr>
          <w:sz w:val="22"/>
          <w:szCs w:val="22"/>
          <w:b/>
        </w:rPr>
        <w:t xml:space="preserve">Ochranné opatrenia:</w:t>
      </w:r>
    </w:p>
    <w:p>
      <w:pPr>
        <w:pStyle w:val="Normal"/>
        <w:numPr>
          <w:ilvl w:val="0"/>
          <w:numId w:val="3"/>
        </w:numPr>
        <w:spacing w:before="0" w:after="60"/>
        <w:ind w:start="360" w:hanging="360"/>
      </w:pPr>
      <w:r>
        <w:rPr>
          <w:sz w:val="22"/>
          <w:szCs w:val="22"/>
        </w:rPr>
        <w:t xml:space="preserve">Pred výkonom bude vyšetrená funkcia obličiek.</w:t>
      </w:r>
    </w:p>
    <w:p>
      <w:pPr>
        <w:pStyle w:val="Normal"/>
        <w:numPr>
          <w:ilvl w:val="0"/>
          <w:numId w:val="3"/>
        </w:numPr>
        <w:spacing w:before="0" w:after="60"/>
        <w:ind w:start="360" w:hanging="360"/>
      </w:pPr>
      <w:r>
        <w:rPr>
          <w:sz w:val="22"/>
          <w:szCs w:val="22"/>
        </w:rPr>
        <w:t xml:space="preserve">Budete dostatočne hydratovaný/á (tekutiny do žily).</w:t>
      </w:r>
    </w:p>
    <w:p>
      <w:pPr>
        <w:pStyle w:val="Normal"/>
        <w:numPr>
          <w:ilvl w:val="0"/>
          <w:numId w:val="3"/>
        </w:numPr>
        <w:spacing w:before="0" w:after="60"/>
        <w:ind w:start="360" w:hanging="360"/>
      </w:pPr>
      <w:r>
        <w:rPr>
          <w:sz w:val="22"/>
          <w:szCs w:val="22"/>
        </w:rPr>
        <w:t xml:space="preserve">Ak užívate metformín a máte zníženú funkciu obličiek, bude dočasne vysadený.</w:t>
      </w:r>
    </w:p>
    <w:p>
      <w:pPr>
        <w:pStyle w:val="Normal"/>
        <w:numPr>
          <w:ilvl w:val="0"/>
          <w:numId w:val="3"/>
        </w:numPr>
        <w:spacing w:before="0" w:after="60"/>
        <w:ind w:start="360" w:hanging="360"/>
      </w:pPr>
      <w:r>
        <w:rPr>
          <w:sz w:val="22"/>
          <w:szCs w:val="22"/>
        </w:rPr>
        <w:t xml:space="preserve">Množstvo kontrastnej látky bude minimalizované.</w:t>
      </w:r>
    </w:p>
    <w:p>
      <w:pPr>
        <w:pStyle w:val="Normal"/>
        <w:numPr>
          <w:ilvl w:val="0"/>
          <w:numId w:val="3"/>
        </w:numPr>
        <w:spacing w:before="0" w:after="60"/>
        <w:ind w:start="360" w:hanging="360"/>
      </w:pPr>
      <w:r>
        <w:rPr>
          <w:sz w:val="22"/>
          <w:szCs w:val="22"/>
        </w:rPr>
        <w:t xml:space="preserve">Funkcia obličiek bude kontrolovaná 48–72 hodín po výkone.</w:t>
      </w:r>
    </w:p>
    <w:p>
      <w:pPr>
        <w:spacing w:after="80"/>
      </w:pPr>
    </w:p>
    <w:p>
      <w:pPr>
        <w:spacing w:after="160"/>
      </w:pPr>
    </w:p>
    <w:p>
      <w:pPr>
        <w:pStyle w:val="Heading2"/>
        <w:numPr>
          <w:ilvl w:val="0"/>
          <w:numId w:val="3"/>
        </w:numPr>
        <w:spacing w:before="180" w:after="60"/>
      </w:pPr>
      <w:r>
        <w:rPr>
          <w:b/>
          <w:sz w:val="24"/>
        </w:rPr>
        <w:t xml:space="preserve">Vyhlásenie pacienta</w:t>
      </w:r>
    </w:p>
    <w:p>
      <w:pPr>
        <w:pStyle w:val="Normal"/>
        <w:spacing w:before="0" w:after="100"/>
        <w:jc w:val="both"/>
        <w:rPr>
          <w:sz w:val="22"/>
          <w:szCs w:val="22"/>
        </w:rPr>
      </w:pPr>
      <w:r>
        <w:rPr>
          <w:sz w:val="22"/>
          <w:szCs w:val="22"/>
        </w:rPr>
        <w:t xml:space="preserve">Vlastnoručným podpisom tohto dokumentu potvrdzujem, že:</w:t>
      </w:r>
    </w:p>
    <w:p>
      <w:pPr>
        <w:pStyle w:val="Normal"/>
        <w:spacing w:before="0" w:after="80"/>
        <w:ind w:start="360" w:hanging="360"/>
        <w:jc w:val="both"/>
      </w:pPr>
      <w:r>
        <w:rPr>
          <w:sz w:val="22"/>
          <w:szCs w:val="22"/>
        </w:rPr>
        <w:t xml:space="preserve">☐  Bol/a som zrozumiteľne informovaný/á o povahe, účele, priebehu a predpokladanom trvaní navrhovaného výkonu.</w:t>
      </w:r>
    </w:p>
    <w:p>
      <w:pPr>
        <w:pStyle w:val="Normal"/>
        <w:spacing w:before="0" w:after="80"/>
        <w:ind w:start="360" w:hanging="360"/>
        <w:jc w:val="both"/>
      </w:pPr>
      <w:r>
        <w:rPr>
          <w:sz w:val="22"/>
          <w:szCs w:val="22"/>
        </w:rPr>
        <w:t xml:space="preserve">☐  Bol/a som informovaný/á o možných rizikách, komplikáciách a nežiaducich účinkoch vrátane zriedkavých a závažných.</w:t>
      </w:r>
    </w:p>
    <w:p>
      <w:pPr>
        <w:pStyle w:val="Normal"/>
        <w:spacing w:before="0" w:after="80"/>
        <w:ind w:start="360" w:hanging="360"/>
        <w:jc w:val="both"/>
      </w:pPr>
      <w:r>
        <w:rPr>
          <w:sz w:val="22"/>
          <w:szCs w:val="22"/>
        </w:rPr>
        <w:t xml:space="preserve">☐  Bol/a som informovaný/á o alternatívnych možnostiach liečby a o dôsledkoch odmietnutia výkonu.</w:t>
      </w:r>
    </w:p>
    <w:p>
      <w:pPr>
        <w:pStyle w:val="Normal"/>
        <w:spacing w:before="0" w:after="80"/>
        <w:ind w:start="360" w:hanging="360"/>
        <w:jc w:val="both"/>
      </w:pPr>
      <w:r>
        <w:rPr>
          <w:sz w:val="22"/>
          <w:szCs w:val="22"/>
        </w:rPr>
        <w:t xml:space="preserve">☐  Bol/a som informovaný/á o pooperačnom režime vrátane potreby dlhodobej antikoagulačnej liečby a pravidelného sledovania.</w:t>
      </w:r>
    </w:p>
    <w:p>
      <w:pPr>
        <w:pStyle w:val="Normal"/>
        <w:spacing w:before="0" w:after="80"/>
        <w:ind w:start="360" w:hanging="360"/>
        <w:jc w:val="both"/>
      </w:pPr>
      <w:r>
        <w:rPr>
          <w:sz w:val="22"/>
          <w:szCs w:val="22"/>
        </w:rPr>
        <w:t xml:space="preserve">☐  Rozumiem, že počas výkonu môže byť na základe aktuálneho nálezu rozhodnuté o zavedení cudzieho materiálu, a s týmto postupom súhlasím.</w:t>
      </w:r>
    </w:p>
    <w:p>
      <w:pPr>
        <w:pStyle w:val="Normal"/>
        <w:spacing w:before="0" w:after="80"/>
        <w:ind w:start="360" w:hanging="360"/>
        <w:jc w:val="both"/>
      </w:pPr>
      <w:r>
        <w:rPr>
          <w:sz w:val="22"/>
          <w:szCs w:val="22"/>
        </w:rPr>
        <w:t xml:space="preserve">☐  Mal/a som dostatočný čas si tento informovaný súhlas prečítať, porozumieť jeho obsahu a slobodne sa rozhodnúť.</w:t>
      </w:r>
    </w:p>
    <w:p>
      <w:pPr>
        <w:pStyle w:val="Normal"/>
        <w:spacing w:before="0" w:after="80"/>
        <w:ind w:start="360" w:hanging="360"/>
        <w:jc w:val="both"/>
      </w:pPr>
      <w:r>
        <w:rPr>
          <w:sz w:val="22"/>
          <w:szCs w:val="22"/>
        </w:rPr>
        <w:t xml:space="preserve">☐  Mal/a som možnosť klásť otázky a všetky moje otázky boli zodpovedané.</w:t>
      </w:r>
    </w:p>
    <w:p>
      <w:pPr>
        <w:pStyle w:val="Normal"/>
        <w:spacing w:before="0" w:after="80"/>
        <w:ind w:start="360" w:hanging="360"/>
        <w:jc w:val="both"/>
      </w:pPr>
      <w:r>
        <w:rPr>
          <w:sz w:val="22"/>
          <w:szCs w:val="22"/>
        </w:rPr>
        <w:t xml:space="preserve">☐  Súhlasím s podaním kontrastnej látky, trombolytika a ďalších liekov potrebných na vykonanie výkonu.</w:t>
      </w:r>
    </w:p>
    <w:p>
      <w:pPr>
        <w:pStyle w:val="Normal"/>
        <w:spacing w:before="0" w:after="80"/>
        <w:ind w:start="360" w:hanging="360"/>
        <w:jc w:val="both"/>
      </w:pPr>
      <w:r>
        <w:rPr>
          <w:sz w:val="22"/>
          <w:szCs w:val="22"/>
        </w:rPr>
        <w:t xml:space="preserve">☐  Tento súhlas udeľujem dobrovoľne, bez nátlaku, a som si vedomý/á, že ho môžem kedykoľvek pred začiatkom výkonu odvolať.</w:t>
      </w:r>
    </w:p>
    <w:p>
      <w:pPr>
        <w:pStyle w:val="Normal"/>
        <w:spacing w:before="0" w:after="80"/>
        <w:ind w:start="360" w:hanging="360"/>
        <w:jc w:val="both"/>
      </w:pPr>
      <w:r>
        <w:rPr>
          <w:sz w:val="22"/>
          <w:szCs w:val="22"/>
        </w:rPr>
        <w:t xml:space="preserve">☐  Bol/a som informovaný/á o rizikách spojených s podaním jódovej kontrastnej látky vrátane alergickej reakcie, poškodenia obličiek a vplyvu na štítnu žľazu. Informoval/a som lekára o všetkých svojich alergiách, ochoreniach obličiek, cukrovke, ochoreniach štítnej žľazy a užívaných liekoch.</w:t>
      </w:r>
    </w:p>
    <w:p>
      <w:pPr>
        <w:pStyle w:val="Normal"/>
        <w:spacing w:before="0" w:after="80"/>
        <w:ind w:start="360" w:hanging="360"/>
        <w:jc w:val="both"/>
      </w:pPr>
      <w:r>
        <w:rPr>
          <w:sz w:val="22"/>
          <w:szCs w:val="22"/>
        </w:rPr>
        <w:t xml:space="preserve">☐  Bol/a som informovaný/á o potrebe vysadenia metformínu (ak ho užívam) a ďalších liekov pred výkonom podľa pokynov lekára.</w:t>
      </w:r>
    </w:p>
    <w:p>
      <w:pPr>
        <w:spacing w:after="120"/>
      </w:pPr>
    </w:p>
    <w:p>
      <w:pPr>
        <w:pStyle w:val="Normal"/>
        <w:spacing w:before="0" w:after="200"/>
        <w:jc w:val="both"/>
        <w:rPr>
          <w:sz w:val="22"/>
          <w:szCs w:val="22"/>
          <w:b/>
        </w:rPr>
      </w:pPr>
      <w:r>
        <w:rPr>
          <w:sz w:val="22"/>
          <w:szCs w:val="22"/>
          <w:b/>
        </w:rPr>
        <w:t xml:space="preserve">Na základe vyššie uvedených informácií slobodne a dobrovoľne súhlasím s vykonaním navrhovaného výkonu.</w:t>
      </w:r>
    </w:p>
    <w:p>
      <w:pPr>
        <w:pStyle w:val="Normal"/>
        <w:spacing w:before="360" w:after="80"/>
      </w:pPr>
      <w:r>
        <w:rPr>
          <w:b/>
          <w:sz w:val="22"/>
        </w:rPr>
        <w:t xml:space="preserve">Podpis pacienta: </w:t>
      </w:r>
      <w:r>
        <w:rPr>
          <w:sz w:val="22"/>
        </w:rPr>
        <w:t xml:space="preserve">_________________________       </w:t>
      </w:r>
      <w:r>
        <w:rPr>
          <w:b/>
          <w:sz w:val="22"/>
        </w:rPr>
        <w:t xml:space="preserve">Podpis zákonného zástupcu (ak relevantné): </w:t>
      </w:r>
      <w:r>
        <w:rPr>
          <w:sz w:val="22"/>
        </w:rPr>
        <w:t>_________________________</w:t>
      </w:r>
    </w:p>
    <w:p>
      <w:pPr>
        <w:pStyle w:val="Normal"/>
        <w:spacing w:after="60"/>
      </w:pPr>
      <w:r>
        <w:rPr>
          <w:b/>
          <w:sz w:val="22"/>
        </w:rPr>
        <w:t xml:space="preserve">Dátum a čas: </w:t>
      </w:r>
      <w:r>
        <w:rPr>
          <w:sz w:val="22"/>
        </w:rPr>
        <w:t>___________________</w:t>
      </w:r>
    </w:p>
    <w:p>
      <w:pPr>
        <w:spacing w:after="200"/>
      </w:pPr>
    </w:p>
    <w:p>
      <w:pPr>
        <w:pStyle w:val="Heading2"/>
        <w:numPr>
          <w:ilvl w:val="0"/>
          <w:numId w:val="3"/>
        </w:numPr>
        <w:spacing w:before="180" w:after="60"/>
      </w:pPr>
      <w:r>
        <w:rPr>
          <w:b/>
          <w:sz w:val="24"/>
        </w:rPr>
        <w:t xml:space="preserve">Vyhlásenie lekára</w:t>
      </w:r>
    </w:p>
    <w:p>
      <w:pPr>
        <w:pStyle w:val="Normal"/>
        <w:spacing w:before="0" w:after="120"/>
        <w:jc w:val="both"/>
        <w:rPr>
          <w:sz w:val="22"/>
          <w:szCs w:val="22"/>
        </w:rPr>
      </w:pPr>
      <w:r>
        <w:rPr>
          <w:sz w:val="22"/>
          <w:szCs w:val="22"/>
        </w:rPr>
        <w:t xml:space="preserve">Potvrdzujem, že som pacientovi/pacientke poskytol/la úplné a zrozumiteľné informácie o navrhovanom výkone, jeho rizikách, prínosoch a alternatívach v zmysle §6 zákona č. 576/2004 Z.z. Pacient/ka mal/a dostatočný čas na zváženie informácií a kladenie otázok. Podľa môjho najlepšieho vedomia má pacient/ka kapacitu pochopiť poskytnuté informácie a urobiť slobodné informované rozhodnutie.</w:t>
      </w:r>
    </w:p>
    <w:p>
      <w:pPr>
        <w:spacing w:after="200"/>
      </w:pPr>
    </w:p>
    <w:p>
      <w:pPr>
        <w:pStyle w:val="Normal"/>
        <w:spacing w:before="360" w:after="80"/>
      </w:pPr>
      <w:r>
        <w:rPr>
          <w:b/>
          <w:sz w:val="22"/>
        </w:rPr>
        <w:t xml:space="preserve">Podpis lekára: </w:t>
      </w:r>
      <w:r>
        <w:rPr>
          <w:sz w:val="22"/>
        </w:rPr>
        <w:t xml:space="preserve">_________________________       </w:t>
      </w:r>
      <w:r>
        <w:rPr>
          <w:b/>
          <w:sz w:val="22"/>
        </w:rPr>
        <w:t xml:space="preserve">Podpis svedka: </w:t>
      </w:r>
      <w:r>
        <w:rPr>
          <w:sz w:val="22"/>
        </w:rPr>
        <w:t>_________________________</w:t>
      </w:r>
    </w:p>
    <w:p>
      <w:pPr>
        <w:pStyle w:val="Normal"/>
        <w:spacing w:after="60"/>
      </w:pPr>
      <w:r>
        <w:rPr>
          <w:b/>
          <w:sz w:val="22"/>
        </w:rPr>
        <w:t xml:space="preserve">Dátum a čas: </w:t>
      </w:r>
      <w:r>
        <w:rPr>
          <w:sz w:val="22"/>
        </w:rPr>
        <w:t>___________________</w:t>
      </w:r>
    </w:p>
    <w:sectPr>
      <w:headerReference w:type="default" r:id="rId2"/>
      <w:type w:val="nextPage"/>
      <w:pgSz w:w="11906" w:h="16838"/>
      <w:pgMar w:left="851" w:right="851" w:gutter="0" w:header="420" w:top="476" w:footer="0" w:bottom="42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Liberation Sans">
    <w:altName w:val="Arial"/>
    <w:charset w:val="01" w:characterSet="utf-8"/>
    <w:family w:val="swiss"/>
    <w:pitch w:val="variable"/>
  </w:font>
  <w:font w:name="Times New Roman">
    <w:charset w:val="ee" w:characterSet="windows-1250"/>
    <w:family w:val="roman"/>
    <w:pitch w:val="variable"/>
  </w:font>
  <w:font w:name="ZapfCalligr AT">
    <w:altName w:val="Times New Roman"/>
    <w:charset w:val="00" w:characterSet="windows-1252"/>
    <w:family w:val="auto"/>
    <w:pitch w:val="variable"/>
  </w:font>
  <w:font w:name="Arial Narrow">
    <w:charset w:val="ee" w:characterSet="windows-1250"/>
    <w:family w:val="swiss"/>
    <w:pitch w:val="variable"/>
  </w:font>
  <w:font w:name="Courier New">
    <w:charset w:val="ee" w:characterSet="windows-1250"/>
    <w:family w:val="modern"/>
    <w:pitch w:val="default"/>
  </w:font>
  <w:font w:name="Tahoma">
    <w:charset w:val="ee" w:characterSet="windows-125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632" w:type="dxa"/>
      <w:jc w:val="start"/>
      <w:tblInd w:w="70" w:type="dxa"/>
      <w:tblLayout w:type="fixed"/>
      <w:tblCellMar>
        <w:top w:w="0" w:type="dxa"/>
        <w:start w:w="70" w:type="dxa"/>
        <w:bottom w:w="0" w:type="dxa"/>
        <w:end w:w="70" w:type="dxa"/>
      </w:tblCellMar>
    </w:tblPr>
    <w:tblGrid>
      <w:gridCol w:w="851"/>
      <w:gridCol w:w="2410"/>
      <w:gridCol w:w="7371"/>
    </w:tblGrid>
    <w:tr>
      <w:trPr/>
      <w:tc>
        <w:tcPr>
          <w:tcW w:w="3261" w:type="dxa"/>
          <w:gridSpan w:val="2"/>
          <w:tcBorders>
            <w:bottom w:val="single" w:sz="4" w:space="0" w:color="000000"/>
          </w:tcBorders>
        </w:tcPr>
        <w:p>
          <w:pPr>
            <w:pStyle w:val="Normal"/>
            <w:rPr>
              <w:rFonts w:ascii="Arial Narrow" w:hAnsi="Arial Narrow" w:cs="Arial Narrow"/>
              <w:sz w:val="16"/>
            </w:rPr>
          </w:pPr>
          <w:r>
            <w:rPr>
              <w:rFonts w:cs="Arial Narrow" w:ascii="Arial Narrow" w:hAnsi="Arial Narrow"/>
              <w:sz w:val="16"/>
            </w:rPr>
            <w:t xml:space="preserve">Strana </w:t>
          </w:r>
          <w:r>
            <w:rPr>
              <w:rStyle w:val="PageNumber"/>
              <w:rFonts w:cs="Arial Narrow" w:ascii="Arial Narrow" w:hAnsi="Arial Narrow"/>
              <w:sz w:val="16"/>
              <w:lang w:val="cs-CZ"/>
            </w:rPr>
            <w:fldChar w:fldCharType="begin"/>
          </w:r>
          <w:r>
            <w:rPr>
              <w:rStyle w:val="PageNumber"/>
              <w:sz w:val="16"/>
              <w:rFonts w:cs="Arial Narrow" w:ascii="Arial Narrow" w:hAnsi="Arial Narrow"/>
              <w:lang w:val="cs-CZ"/>
            </w:rPr>
            <w:instrText xml:space="preserve"> PAGE </w:instrText>
          </w:r>
          <w:r>
            <w:rPr>
              <w:rStyle w:val="PageNumber"/>
              <w:sz w:val="16"/>
              <w:rFonts w:cs="Arial Narrow" w:ascii="Arial Narrow" w:hAnsi="Arial Narrow"/>
              <w:lang w:val="cs-CZ"/>
            </w:rPr>
            <w:fldChar w:fldCharType="separate"/>
          </w:r>
          <w:r>
            <w:rPr>
              <w:rStyle w:val="PageNumber"/>
              <w:sz w:val="16"/>
              <w:rFonts w:cs="Arial Narrow" w:ascii="Arial Narrow" w:hAnsi="Arial Narrow"/>
              <w:lang w:val="cs-CZ"/>
            </w:rPr>
            <w:t>2</w:t>
          </w:r>
          <w:r>
            <w:rPr>
              <w:rStyle w:val="PageNumber"/>
              <w:sz w:val="16"/>
              <w:rFonts w:cs="Arial Narrow" w:ascii="Arial Narrow" w:hAnsi="Arial Narrow"/>
              <w:lang w:val="cs-CZ"/>
            </w:rPr>
            <w:fldChar w:fldCharType="end"/>
          </w:r>
          <w:r>
            <w:rPr>
              <w:rStyle w:val="PageNumber"/>
              <w:rFonts w:cs="Arial Narrow" w:ascii="Arial Narrow" w:hAnsi="Arial Narrow"/>
              <w:sz w:val="16"/>
              <w:lang w:val="cs-CZ"/>
            </w:rPr>
            <w:t>/</w:t>
          </w:r>
          <w:r>
            <w:rPr>
              <w:rStyle w:val="PageNumber"/>
              <w:rFonts w:cs="Arial Narrow" w:ascii="Arial Narrow" w:hAnsi="Arial Narrow"/>
              <w:sz w:val="16"/>
              <w:lang w:val="cs-CZ"/>
            </w:rPr>
            <w:fldChar w:fldCharType="begin"/>
          </w:r>
          <w:r>
            <w:rPr>
              <w:rStyle w:val="PageNumber"/>
              <w:sz w:val="16"/>
              <w:rFonts w:cs="Arial Narrow" w:ascii="Arial Narrow" w:hAnsi="Arial Narrow"/>
              <w:lang w:val="cs-CZ"/>
            </w:rPr>
            <w:instrText xml:space="preserve"> NUMPAGES \* ARABIC </w:instrText>
          </w:r>
          <w:r>
            <w:rPr>
              <w:rStyle w:val="PageNumber"/>
              <w:sz w:val="16"/>
              <w:rFonts w:cs="Arial Narrow" w:ascii="Arial Narrow" w:hAnsi="Arial Narrow"/>
              <w:lang w:val="cs-CZ"/>
            </w:rPr>
            <w:fldChar w:fldCharType="separate"/>
          </w:r>
          <w:r>
            <w:rPr>
              <w:rStyle w:val="PageNumber"/>
              <w:sz w:val="16"/>
              <w:rFonts w:cs="Arial Narrow" w:ascii="Arial Narrow" w:hAnsi="Arial Narrow"/>
              <w:lang w:val="cs-CZ"/>
            </w:rPr>
            <w:t>2</w:t>
          </w:r>
          <w:r>
            <w:rPr>
              <w:rStyle w:val="PageNumber"/>
              <w:sz w:val="16"/>
              <w:rFonts w:cs="Arial Narrow" w:ascii="Arial Narrow" w:hAnsi="Arial Narrow"/>
              <w:lang w:val="cs-CZ"/>
            </w:rPr>
            <w:fldChar w:fldCharType="end"/>
          </w:r>
        </w:p>
      </w:tc>
      <w:tc>
        <w:tcPr>
          <w:tcW w:w="7371" w:type="dxa"/>
          <w:tcBorders>
            <w:bottom w:val="single" w:sz="4" w:space="0" w:color="000000"/>
          </w:tcBorders>
        </w:tcPr>
        <w:p>
          <w:pPr>
            <w:pStyle w:val="Normal"/>
            <w:rPr>
              <w:rFonts w:ascii="Arial Narrow" w:hAnsi="Arial Narrow" w:cs="Arial Narrow"/>
              <w:sz w:val="16"/>
            </w:rPr>
          </w:pPr>
          <w:r>
            <w:rPr>
              <w:rFonts w:cs="Arial Narrow" w:ascii="Arial Narrow" w:hAnsi="Arial Narrow"/>
              <w:sz w:val="16"/>
            </w:rPr>
            <w:t>Platnosť od : 01.08.2026                                                                                                                                          F. 103a.4</w:t>
          </w:r>
        </w:p>
      </w:tc>
    </w:tr>
    <w:tr>
      <w:trPr>
        <w:trHeight w:val="1110" w:hRule="atLeast"/>
        <w:cantSplit w:val="true"/>
      </w:trPr>
      <w:tc>
        <w:tcPr>
          <w:tcW w:w="851" w:type="dxa"/>
          <w:tcBorders>
            <w:top w:val="single" w:sz="4" w:space="0" w:color="000000"/>
            <w:start w:val="single" w:sz="4" w:space="0" w:color="000000"/>
            <w:bottom w:val="single" w:sz="4" w:space="0" w:color="000000"/>
          </w:tcBorders>
        </w:tcPr>
        <w:p>
          <w:pPr>
            <w:pStyle w:val="Heading2"/>
            <w:numPr>
              <w:ilvl w:val="0"/>
              <w:numId w:val="0"/>
            </w:numPr>
            <w:spacing w:before="60" w:after="60"/>
            <w:ind w:hanging="0" w:start="0"/>
            <w:jc w:val="center"/>
            <w:rPr>
              <w:sz w:val="16"/>
            </w:rPr>
          </w:pPr>
          <w:r>
            <w:rPr/>
            <w:drawing>
              <wp:inline distT="0" distB="0" distL="0" distR="0">
                <wp:extent cx="461645" cy="6191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16" t="-12" r="-16" b="-12"/>
                        <a:stretch>
                          <a:fillRect/>
                        </a:stretch>
                      </pic:blipFill>
                      <pic:spPr bwMode="auto">
                        <a:xfrm>
                          <a:off x="0" y="0"/>
                          <a:ext cx="461645" cy="619125"/>
                        </a:xfrm>
                        <a:prstGeom prst="rect">
                          <a:avLst/>
                        </a:prstGeom>
                      </pic:spPr>
                    </pic:pic>
                  </a:graphicData>
                </a:graphic>
              </wp:inline>
            </w:drawing>
          </w:r>
        </w:p>
      </w:tc>
      <w:tc>
        <w:tcPr>
          <w:tcW w:w="2410" w:type="dxa"/>
          <w:tcBorders>
            <w:top w:val="single" w:sz="4" w:space="0" w:color="000000"/>
            <w:bottom w:val="single" w:sz="4" w:space="0" w:color="000000"/>
            <w:end w:val="single" w:sz="4" w:space="0" w:color="000000"/>
          </w:tcBorders>
        </w:tcPr>
        <w:p>
          <w:pPr>
            <w:pStyle w:val="Heading2"/>
            <w:numPr>
              <w:ilvl w:val="0"/>
              <w:numId w:val="0"/>
            </w:numPr>
            <w:spacing w:before="120" w:after="0"/>
            <w:ind w:hanging="0" w:start="0"/>
            <w:jc w:val="center"/>
            <w:rPr>
              <w:sz w:val="20"/>
            </w:rPr>
          </w:pPr>
          <w:r>
            <w:rPr>
              <w:sz w:val="20"/>
            </w:rPr>
            <w:t>Národný  ústav srdcových a cievnych chorôb, a.s.</w:t>
          </w:r>
        </w:p>
      </w:tc>
      <w:tc>
        <w:tcPr>
          <w:tcW w:w="7371" w:type="dxa"/>
          <w:tcBorders>
            <w:top w:val="single" w:sz="4" w:space="0" w:color="000000"/>
            <w:bottom w:val="single" w:sz="4" w:space="0" w:color="000000"/>
            <w:end w:val="single" w:sz="4" w:space="0" w:color="000000"/>
          </w:tcBorders>
          <w:shd w:fill="D8D8D8" w:val="clear"/>
        </w:tcPr>
        <w:p>
          <w:pPr>
            <w:pStyle w:val="Normal"/>
            <w:keepNext w:val="true"/>
            <w:keepLines/>
            <w:spacing w:before="360" w:after="240"/>
            <w:ind w:start="40" w:end="40"/>
            <w:jc w:val="center"/>
            <w:rPr>
              <w:b/>
              <w:color w:val="000000"/>
              <w:sz w:val="24"/>
            </w:rPr>
          </w:pPr>
          <w:r>
            <w:rPr>
              <w:b/>
              <w:caps/>
              <w:sz w:val="24"/>
              <w:szCs w:val="24"/>
            </w:rPr>
            <w:t>INFORMOVANÝ SÚHLAS PACIENTA – ENDOVASKULÁRNE OŠETRENIE INTRAKRANIÁLNEJ ANEURYZMY</w:t>
          </w:r>
        </w:p>
        <w:p>
          <w:pPr>
            <w:pStyle w:val="Normal"/>
            <w:spacing w:before="0" w:after="140"/>
            <w:ind w:start="40" w:end="40"/>
            <w:jc w:val="center"/>
          </w:pPr>
          <w:r>
            <w:rPr>
              <w:i/>
              <w:color w:val="333333"/>
              <w:sz w:val="16"/>
              <w:szCs w:val="16"/>
            </w:rPr>
            <w:t>Poučenie podľa §6 zákona č. 576/2004 Z.z. o zdravotnej starostlivosti, službách súvisiacich s poskytovaním zdravotnej starostlivosti a o zmene a doplnení niektorých zákonov (plánovaný výkon – zrozumiteľne laicky)</w:t>
          </w:r>
        </w:p>
      </w:tc>
    </w:tr>
  </w:tbl>
  <w:p>
    <w:pPr>
      <w:pStyle w:val="Header"/>
      <w:rPr>
        <w:sz w:val="4"/>
        <w:lang w:val="sk-SK"/>
      </w:rPr>
    </w:pPr>
    <w:r>
      <w:rPr>
        <w:sz w:val="4"/>
        <w:lang w:val="sk-SK"/>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705"/>
        </w:tabs>
        <w:ind w:start="705" w:hanging="705"/>
      </w:pPr>
      <w:rPr>
        <w:caps/>
        <w:outline w:val="false"/>
        <w:dstrike w:val="false"/>
        <w:strike w:val="false"/>
        <w:vertAlign w:val="baseline"/>
        <w:position w:val="0"/>
        <w:sz w:val="24"/>
        <w:shadow w:val="false"/>
        <w:vanish w:val="false"/>
      </w:rPr>
    </w:lvl>
    <w:lvl w:ilvl="1">
      <w:start w:val="1"/>
      <w:pStyle w:val="Heading2"/>
      <w:numFmt w:val="decimal"/>
      <w:lvlText w:val="%1.%2"/>
      <w:lvlJc w:val="start"/>
      <w:pPr>
        <w:tabs>
          <w:tab w:val="num" w:pos="705"/>
        </w:tabs>
        <w:ind w:start="705" w:hanging="705"/>
      </w:pPr>
      <w:rPr/>
    </w:lvl>
    <w:lvl w:ilvl="2">
      <w:start w:val="1"/>
      <w:pStyle w:val="Heading3"/>
      <w:numFmt w:val="decimal"/>
      <w:lvlText w:val="%1.%2.%3"/>
      <w:lvlJc w:val="start"/>
      <w:pPr>
        <w:tabs>
          <w:tab w:val="num" w:pos="720"/>
        </w:tabs>
        <w:ind w:start="720" w:hanging="720"/>
      </w:pPr>
      <w:rPr/>
    </w:lvl>
    <w:lvl w:ilvl="3">
      <w:start w:val="1"/>
      <w:pStyle w:val="Heading4"/>
      <w:numFmt w:val="decimal"/>
      <w:suff w:val="space"/>
      <w:lvlText w:val="%1.%2.%3.%4"/>
      <w:lvlJc w:val="start"/>
      <w:pPr>
        <w:tabs>
          <w:tab w:val="num" w:pos="0"/>
        </w:tabs>
        <w:ind w:start="720" w:hanging="720"/>
      </w:pPr>
      <w:rPr/>
    </w:lvl>
    <w:lvl w:ilvl="4">
      <w:start w:val="1"/>
      <w:numFmt w:val="decimal"/>
      <w:lvlText w:val="%1.%2.%3.%4"/>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2">
    <w:lvl w:ilvl="0">
      <w:start w:val="1"/>
      <w:numFmt w:val="decimal"/>
      <w:lvlText w:val="%1."/>
      <w:lvlJc w:val="start"/>
      <w:pPr>
        <w:tabs>
          <w:tab w:val="num" w:pos="720"/>
        </w:tabs>
        <w:ind w:start="720" w:hanging="360"/>
      </w:pPr>
    </w:lvl>
  </w:abstractNum>
  <w:abstractNum w:abstractNumId="3">
    <w:lvl w:ilvl="0">
      <w:start w:val="1"/>
      <w:numFmt w:val="bullet"/>
      <w:lvlText w:val="•"/>
      <w:lvlJc w:val="start"/>
      <w:pPr>
        <w:ind w:start="36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sk-SK" w:bidi="ar-SA" w:eastAsia="zh-CN"/>
    </w:rPr>
  </w:style>
  <w:style w:type="paragraph" w:styleId="Heading1">
    <w:name w:val="Heading 1"/>
    <w:basedOn w:val="Normal"/>
    <w:next w:val="Normal"/>
    <w:qFormat/>
    <w:pPr>
      <w:numPr>
        <w:ilvl w:val="0"/>
        <w:numId w:val="1"/>
      </w:numPr>
      <w:spacing w:before="240" w:after="60"/>
      <w:outlineLvl w:val="0"/>
    </w:pPr>
    <w:rPr>
      <w:b/>
      <w:caps/>
      <w:kern w:val="2"/>
      <w:sz w:val="24"/>
      <w:lang w:val="cs-CZ"/>
    </w:rPr>
  </w:style>
  <w:style w:type="paragraph" w:styleId="Heading2">
    <w:name w:val="Heading 2"/>
    <w:basedOn w:val="Normal"/>
    <w:next w:val="Normal"/>
    <w:qFormat/>
    <w:pPr>
      <w:keepNext w:val="true"/>
      <w:numPr>
        <w:ilvl w:val="1"/>
        <w:numId w:val="1"/>
      </w:numPr>
      <w:spacing w:before="120" w:after="0"/>
      <w:outlineLvl w:val="1"/>
    </w:pPr>
    <w:rPr>
      <w:b/>
      <w:sz w:val="24"/>
    </w:rPr>
  </w:style>
  <w:style w:type="paragraph" w:styleId="Heading3">
    <w:name w:val="Heading 3"/>
    <w:basedOn w:val="Normal"/>
    <w:next w:val="Normal"/>
    <w:qFormat/>
    <w:pPr>
      <w:keepNext w:val="true"/>
      <w:numPr>
        <w:ilvl w:val="2"/>
        <w:numId w:val="1"/>
      </w:numPr>
      <w:spacing w:before="120" w:after="0"/>
      <w:outlineLvl w:val="2"/>
    </w:pPr>
    <w:rPr>
      <w:b/>
      <w:sz w:val="22"/>
    </w:rPr>
  </w:style>
  <w:style w:type="paragraph" w:styleId="Heading4">
    <w:name w:val="Heading 4"/>
    <w:basedOn w:val="Normal"/>
    <w:next w:val="Normal"/>
    <w:qFormat/>
    <w:pPr>
      <w:keepNext w:val="true"/>
      <w:numPr>
        <w:ilvl w:val="3"/>
        <w:numId w:val="1"/>
      </w:numPr>
      <w:spacing w:before="120" w:after="0"/>
      <w:outlineLvl w:val="3"/>
    </w:pPr>
    <w:rPr>
      <w:sz w:val="22"/>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style>
  <w:style w:type="paragraph" w:styleId="Heading8">
    <w:name w:val="Heading 8"/>
    <w:basedOn w:val="Normal"/>
    <w:next w:val="Normal"/>
    <w:qFormat/>
    <w:pPr>
      <w:spacing w:before="240" w:after="60"/>
      <w:outlineLvl w:val="7"/>
    </w:pPr>
    <w:rPr>
      <w:i/>
    </w:rPr>
  </w:style>
  <w:style w:type="paragraph" w:styleId="Heading9">
    <w:name w:val="Heading 9"/>
    <w:basedOn w:val="Normal"/>
    <w:next w:val="Normal"/>
    <w:qFormat/>
    <w:pPr>
      <w:spacing w:before="240" w:after="60"/>
      <w:outlineLvl w:val="8"/>
    </w:pPr>
    <w:rPr>
      <w:i/>
      <w:sz w:val="18"/>
    </w:rPr>
  </w:style>
  <w:style w:type="character" w:styleId="WW8Num3z0">
    <w:name w:val="WW8Num3z0"/>
    <w:qFormat/>
    <w:rPr>
      <w:caps/>
      <w:strike w:val="false"/>
      <w:dstrike w:val="false"/>
      <w:outline w:val="false"/>
      <w:shadow w:val="false"/>
      <w:vanish w:val="false"/>
      <w:position w:val="0"/>
      <w:sz w:val="24"/>
      <w:vertAlign w:val="baseline"/>
    </w:rPr>
  </w:style>
  <w:style w:type="character" w:styleId="WW8Num3z1">
    <w:name w:val="WW8Num3z1"/>
    <w:qFormat/>
    <w:rPr/>
  </w:style>
  <w:style w:type="character" w:styleId="Predvolenpsmoodseku">
    <w:name w:val="Predvolené písmo odseku"/>
    <w:qFormat/>
    <w:rPr/>
  </w:style>
  <w:style w:type="character" w:styleId="PageNumber">
    <w:name w:val="Page Number"/>
    <w:basedOn w:val="Predvolenpsmoodseku"/>
    <w:rPr/>
  </w:style>
  <w:style w:type="character" w:styleId="Hyperlink">
    <w:name w:val="Hyperlink"/>
    <w:rPr>
      <w:color w:val="0000FF"/>
      <w:u w:val="single"/>
    </w:rPr>
  </w:style>
  <w:style w:type="character" w:styleId="FollowedHyperlink">
    <w:name w:val="FollowedHyperlink"/>
    <w:rPr>
      <w:color w:val="8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tLeast" w:line="240"/>
    </w:pPr>
    <w:rPr>
      <w:color w:val="000000"/>
      <w:sz w:val="18"/>
      <w:lang w:val="cs-CZ"/>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lang w:val="cs-CZ"/>
    </w:rPr>
  </w:style>
  <w:style w:type="paragraph" w:styleId="Popis">
    <w:name w:val="Popis"/>
    <w:basedOn w:val="Normal"/>
    <w:qFormat/>
    <w:pPr/>
    <w:rPr>
      <w:b/>
      <w:lang w:val="cs-CZ"/>
    </w:rPr>
  </w:style>
  <w:style w:type="paragraph" w:styleId="TOC1">
    <w:name w:val="TOC 1"/>
    <w:next w:val="Normal"/>
    <w:pPr>
      <w:widowControl/>
      <w:bidi w:val="0"/>
      <w:spacing w:before="60" w:after="0"/>
    </w:pPr>
    <w:rPr>
      <w:rFonts w:ascii="Arial" w:hAnsi="Arial" w:eastAsia="Times New Roman" w:cs="Arial"/>
      <w:caps/>
      <w:color w:val="auto"/>
      <w:sz w:val="22"/>
      <w:szCs w:val="20"/>
      <w:lang w:val="sk-SK" w:bidi="ar-SA" w:eastAsia="zh-CN"/>
    </w:rPr>
  </w:style>
  <w:style w:type="paragraph" w:styleId="TOC3">
    <w:name w:val="TOC 3"/>
    <w:next w:val="Normal"/>
    <w:pPr>
      <w:widowControl/>
      <w:bidi w:val="0"/>
      <w:ind w:hanging="0" w:start="200" w:end="0"/>
    </w:pPr>
    <w:rPr>
      <w:rFonts w:ascii="Times New Roman" w:hAnsi="Times New Roman" w:eastAsia="Times New Roman" w:cs="Times New Roman"/>
      <w:color w:val="auto"/>
      <w:sz w:val="20"/>
      <w:szCs w:val="20"/>
      <w:lang w:val="sk-SK" w:bidi="ar-SA" w:eastAsia="zh-CN"/>
    </w:rPr>
  </w:style>
  <w:style w:type="paragraph" w:styleId="TOC4">
    <w:name w:val="TOC 4"/>
    <w:next w:val="Normal"/>
    <w:pPr>
      <w:widowControl/>
      <w:bidi w:val="0"/>
      <w:ind w:hanging="0" w:start="400" w:end="0"/>
    </w:pPr>
    <w:rPr>
      <w:rFonts w:ascii="Times New Roman" w:hAnsi="Times New Roman" w:eastAsia="Times New Roman" w:cs="Times New Roman"/>
      <w:color w:val="auto"/>
      <w:sz w:val="20"/>
      <w:szCs w:val="20"/>
      <w:lang w:val="sk-SK" w:bidi="ar-SA" w:eastAsia="zh-CN"/>
    </w:rPr>
  </w:style>
  <w:style w:type="paragraph" w:styleId="TOC2">
    <w:name w:val="TOC 2"/>
    <w:basedOn w:val="Normal"/>
    <w:next w:val="Normal"/>
    <w:pPr>
      <w:spacing w:before="240" w:after="0"/>
    </w:pPr>
    <w:rPr>
      <w:rFonts w:ascii="Times New Roman" w:hAnsi="Times New Roman" w:cs="Times New Roman"/>
      <w:b/>
    </w:rPr>
  </w:style>
  <w:style w:type="paragraph" w:styleId="Footer">
    <w:name w:val="Footer"/>
    <w:basedOn w:val="Normal"/>
    <w:pPr>
      <w:tabs>
        <w:tab w:val="clear" w:pos="708"/>
        <w:tab w:val="center" w:pos="4536" w:leader="none"/>
        <w:tab w:val="right" w:pos="9072" w:leader="none"/>
      </w:tabs>
    </w:pPr>
    <w:rPr>
      <w:lang w:val="cs-CZ"/>
    </w:rPr>
  </w:style>
  <w:style w:type="paragraph" w:styleId="Zarkazkladnhotextu2">
    <w:name w:val="Zarážka základného textu 2"/>
    <w:basedOn w:val="Normal"/>
    <w:qFormat/>
    <w:pPr>
      <w:ind w:hanging="141" w:start="2268" w:end="0"/>
    </w:pPr>
    <w:rPr>
      <w:color w:val="000000"/>
      <w:lang w:val="cs-CZ"/>
    </w:rPr>
  </w:style>
  <w:style w:type="paragraph" w:styleId="Zarkazkladnhotextu3">
    <w:name w:val="Zarážka základného textu 3"/>
    <w:basedOn w:val="Normal"/>
    <w:qFormat/>
    <w:pPr>
      <w:ind w:hanging="142" w:start="426" w:end="0"/>
    </w:pPr>
    <w:rPr>
      <w:color w:val="000000"/>
    </w:rPr>
  </w:style>
  <w:style w:type="paragraph" w:styleId="Zkladntext2">
    <w:name w:val="Základný text 2"/>
    <w:basedOn w:val="Normal"/>
    <w:qFormat/>
    <w:pPr>
      <w:tabs>
        <w:tab w:val="clear" w:pos="708"/>
        <w:tab w:val="left" w:pos="990" w:leader="none"/>
      </w:tabs>
      <w:spacing w:lineRule="atLeast" w:line="240"/>
    </w:pPr>
    <w:rPr>
      <w:color w:val="000000"/>
    </w:rPr>
  </w:style>
  <w:style w:type="paragraph" w:styleId="Zkladntext3">
    <w:name w:val="Základný text 3"/>
    <w:basedOn w:val="Normal"/>
    <w:qFormat/>
    <w:pPr>
      <w:spacing w:lineRule="atLeast" w:line="240"/>
    </w:pPr>
    <w:rPr>
      <w:color w:val="000000"/>
      <w:sz w:val="16"/>
    </w:rPr>
  </w:style>
  <w:style w:type="paragraph" w:styleId="normal3">
    <w:name w:val="normal3"/>
    <w:basedOn w:val="Normal"/>
    <w:qFormat/>
    <w:pPr>
      <w:ind w:hanging="170" w:start="170" w:end="0"/>
    </w:pPr>
    <w:rPr>
      <w:rFonts w:ascii="Times New Roman" w:hAnsi="Times New Roman" w:cs="Times New Roman"/>
    </w:rPr>
  </w:style>
  <w:style w:type="paragraph" w:styleId="02Odsadentext">
    <w:name w:val="02 Odsadený text"/>
    <w:qFormat/>
    <w:pPr>
      <w:widowControl/>
      <w:bidi w:val="0"/>
      <w:spacing w:before="60" w:after="0"/>
      <w:ind w:firstLine="680" w:start="0" w:end="0"/>
      <w:jc w:val="both"/>
    </w:pPr>
    <w:rPr>
      <w:rFonts w:ascii="ZapfCalligr AT;Times New Roman" w:hAnsi="ZapfCalligr AT;Times New Roman" w:eastAsia="Times New Roman" w:cs="ZapfCalligr AT;Times New Roman"/>
      <w:color w:val="auto"/>
      <w:sz w:val="20"/>
      <w:szCs w:val="20"/>
      <w:lang w:val="sk-SK" w:bidi="ar-SA" w:eastAsia="zh-CN"/>
    </w:rPr>
  </w:style>
  <w:style w:type="paragraph" w:styleId="BodyTextIndent">
    <w:name w:val="Body Text Indent"/>
    <w:basedOn w:val="Normal"/>
    <w:pPr>
      <w:tabs>
        <w:tab w:val="clear" w:pos="708"/>
        <w:tab w:val="left" w:pos="23" w:leader="none"/>
        <w:tab w:val="left" w:pos="743" w:leader="none"/>
        <w:tab w:val="left" w:pos="1463" w:leader="none"/>
        <w:tab w:val="left" w:pos="2183" w:leader="none"/>
        <w:tab w:val="left" w:pos="2903" w:leader="none"/>
        <w:tab w:val="left" w:pos="3623" w:leader="none"/>
        <w:tab w:val="left" w:pos="4343" w:leader="none"/>
      </w:tabs>
      <w:spacing w:lineRule="atLeast" w:line="240"/>
      <w:ind w:hanging="0" w:start="23" w:end="0"/>
      <w:jc w:val="both"/>
    </w:pPr>
    <w:rPr>
      <w:rFonts w:ascii="Arial Narrow" w:hAnsi="Arial Narrow" w:cs="Arial Narrow"/>
      <w:color w:val="000000"/>
      <w:spacing w:val="-4"/>
    </w:rPr>
  </w:style>
  <w:style w:type="paragraph" w:styleId="FootStyle2">
    <w:name w:val="Foot Style 2"/>
    <w:basedOn w:val="Footer"/>
    <w:qFormat/>
    <w:pPr>
      <w:tabs>
        <w:tab w:val="clear" w:pos="4536"/>
        <w:tab w:val="clear" w:pos="9072"/>
        <w:tab w:val="left" w:pos="1985" w:leader="none"/>
        <w:tab w:val="right" w:pos="8306" w:leader="none"/>
      </w:tabs>
      <w:spacing w:lineRule="atLeast" w:line="240" w:before="240" w:after="0"/>
    </w:pPr>
    <w:rPr>
      <w:b/>
      <w:sz w:val="24"/>
      <w:lang w:val="en-US"/>
    </w:rPr>
  </w:style>
  <w:style w:type="paragraph" w:styleId="TOC5">
    <w:name w:val="TOC 5"/>
    <w:basedOn w:val="Normal"/>
    <w:next w:val="Normal"/>
    <w:pPr>
      <w:ind w:hanging="0" w:start="600" w:end="0"/>
    </w:pPr>
    <w:rPr>
      <w:rFonts w:ascii="Times New Roman" w:hAnsi="Times New Roman" w:cs="Times New Roman"/>
    </w:rPr>
  </w:style>
  <w:style w:type="paragraph" w:styleId="TOC6">
    <w:name w:val="TOC 6"/>
    <w:basedOn w:val="Normal"/>
    <w:next w:val="Normal"/>
    <w:pPr>
      <w:ind w:hanging="0" w:start="800" w:end="0"/>
    </w:pPr>
    <w:rPr>
      <w:rFonts w:ascii="Times New Roman" w:hAnsi="Times New Roman" w:cs="Times New Roman"/>
    </w:rPr>
  </w:style>
  <w:style w:type="paragraph" w:styleId="TOC7">
    <w:name w:val="TOC 7"/>
    <w:basedOn w:val="Normal"/>
    <w:next w:val="Normal"/>
    <w:pPr>
      <w:ind w:hanging="0" w:start="1000" w:end="0"/>
    </w:pPr>
    <w:rPr>
      <w:rFonts w:ascii="Times New Roman" w:hAnsi="Times New Roman" w:cs="Times New Roman"/>
    </w:rPr>
  </w:style>
  <w:style w:type="paragraph" w:styleId="TOC8">
    <w:name w:val="TOC 8"/>
    <w:basedOn w:val="Normal"/>
    <w:next w:val="Normal"/>
    <w:pPr>
      <w:ind w:hanging="0" w:start="1200" w:end="0"/>
    </w:pPr>
    <w:rPr>
      <w:rFonts w:ascii="Times New Roman" w:hAnsi="Times New Roman" w:cs="Times New Roman"/>
    </w:rPr>
  </w:style>
  <w:style w:type="paragraph" w:styleId="TOC9">
    <w:name w:val="TOC 9"/>
    <w:basedOn w:val="Normal"/>
    <w:next w:val="Normal"/>
    <w:pPr>
      <w:ind w:hanging="0" w:start="1400" w:end="0"/>
    </w:pPr>
    <w:rPr>
      <w:rFonts w:ascii="Times New Roman" w:hAnsi="Times New Roman" w:cs="Times New Roman"/>
    </w:rPr>
  </w:style>
  <w:style w:type="paragraph" w:styleId="Obyajntext">
    <w:name w:val="Obyčajný text"/>
    <w:basedOn w:val="Normal"/>
    <w:qFormat/>
    <w:pPr/>
    <w:rPr>
      <w:rFonts w:ascii="Courier New" w:hAnsi="Courier New" w:cs="Courier New"/>
    </w:rPr>
  </w:style>
  <w:style w:type="paragraph" w:styleId="Normal1">
    <w:name w:val="Normal1"/>
    <w:basedOn w:val="Normal"/>
    <w:qFormat/>
    <w:pPr>
      <w:suppressAutoHyphens w:val="true"/>
      <w:spacing w:lineRule="auto" w:line="228"/>
    </w:pPr>
    <w:rPr>
      <w:rFonts w:ascii="Times New Roman" w:hAnsi="Times New Roman" w:cs="Times New Roman"/>
    </w:rPr>
  </w:style>
  <w:style w:type="paragraph" w:styleId="Textbubliny">
    <w:name w:val="Text bubliny"/>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2026-05-26T12:11:00Z</dcterms:created>
  <dc:creator>j.skoupý</dc:creator>
  <dc:description/>
  <cp:keywords/>
  <dc:language>en-US</dc:language>
  <cp:lastModifiedBy>Vincze Lukáš MUDr.</cp:lastModifiedBy>
  <cp:lastPrinted>2008-02-05T11:47:00Z</cp:lastPrinted>
  <dcterms:modified xsi:type="dcterms:W3CDTF">2026-05-26T12:11:00Z</dcterms:modified>
  <cp:revision>2</cp:revision>
  <dc:subject/>
  <dc:title/>
</cp:coreProperties>
</file>