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spacing w:before="0" w:after="200"/>
        <w:jc w:val="center"/>
        <w:rPr/>
      </w:pPr>
      <w:r>
        <w:rPr>
          <w:rFonts w:eastAsia="Times New Roman" w:cs="Times New Roman"/>
          <w:b/>
          <w:bCs/>
          <w:color w:val="1F3864"/>
          <w:sz w:val="36"/>
          <w:szCs w:val="36"/>
        </w:rPr>
        <w:t>TARS PROJESİ</w:t>
      </w:r>
    </w:p>
    <w:p>
      <w:pPr>
        <w:pStyle w:val="Normal"/>
        <w:spacing w:before="0" w:after="120"/>
        <w:jc w:val="center"/>
        <w:rPr/>
      </w:pPr>
      <w:r>
        <w:rPr>
          <w:rFonts w:eastAsia="Times New Roman" w:cs="Times New Roman"/>
          <w:i/>
          <w:iCs/>
          <w:color w:val="2E4F87"/>
          <w:sz w:val="24"/>
          <w:szCs w:val="24"/>
        </w:rPr>
        <w:t>Gömülü Sistemler için QLoRA Fine-Tuning ve RAG Tabanlı</w:t>
      </w:r>
    </w:p>
    <w:p>
      <w:pPr>
        <w:pStyle w:val="Normal"/>
        <w:spacing w:before="0" w:after="600"/>
        <w:jc w:val="center"/>
        <w:rPr>
          <w:rFonts w:ascii="Times New Roman" w:hAnsi="Times New Roman" w:eastAsia="Times New Roman" w:cs="Times New Roman"/>
          <w:i/>
          <w:iCs/>
          <w:color w:val="2E4F87"/>
          <w:sz w:val="24"/>
          <w:szCs w:val="24"/>
        </w:rPr>
      </w:pPr>
      <w:r>
        <w:rPr>
          <w:rFonts w:eastAsia="Times New Roman" w:cs="Times New Roman"/>
          <w:i/>
          <w:iCs/>
          <w:color w:val="2E4F87"/>
          <w:sz w:val="24"/>
          <w:szCs w:val="24"/>
        </w:rPr>
        <w:t>Teknik Yardım Asistanı</w:t>
      </w:r>
    </w:p>
    <w:p>
      <w:pPr>
        <w:pStyle w:val="Normal"/>
        <w:spacing w:before="400" w:after="80"/>
        <w:jc w:val="center"/>
        <w:rPr/>
      </w:pPr>
      <w:r>
        <w:rPr>
          <w:rFonts w:eastAsia="Times New Roman" w:cs="Times New Roman"/>
          <w:b/>
          <w:bCs/>
          <w:sz w:val="22"/>
          <w:szCs w:val="22"/>
        </w:rPr>
        <w:t>Proje Raporu</w:t>
      </w:r>
    </w:p>
    <w:p>
      <w:pPr>
        <w:pStyle w:val="Normal"/>
        <w:spacing w:before="0" w:after="80"/>
        <w:jc w:val="center"/>
        <w:rPr/>
      </w:pPr>
      <w:r>
        <w:rPr>
          <w:rFonts w:eastAsia="Times New Roman" w:cs="Times New Roman"/>
          <w:sz w:val="20"/>
          <w:szCs w:val="20"/>
        </w:rPr>
        <w:t>202</w:t>
      </w:r>
      <w:r>
        <w:rPr>
          <w:rFonts w:eastAsia="Times New Roman" w:cs="Times New Roman"/>
          <w:sz w:val="20"/>
          <w:szCs w:val="20"/>
        </w:rPr>
        <w:t>6</w:t>
      </w:r>
    </w:p>
    <w:p>
      <w:pPr>
        <w:pStyle w:val="Normal"/>
        <w:spacing w:before="0" w:after="80"/>
        <w:jc w:val="start"/>
        <w:rPr>
          <w:rFonts w:ascii="Times New Roman" w:hAnsi="Times New Roman" w:eastAsia="Times New Roman" w:cs="Times New Roman"/>
          <w:sz w:val="20"/>
          <w:szCs w:val="20"/>
        </w:rPr>
      </w:pPr>
      <w:r>
        <w:rPr>
          <w:rFonts w:eastAsia="Times New Roman" w:cs="Times New Roman"/>
          <w:sz w:val="20"/>
          <w:szCs w:val="20"/>
        </w:rPr>
        <w:t>Cihan Özden</w:t>
      </w:r>
    </w:p>
    <w:p>
      <w:pPr>
        <w:pStyle w:val="Normal"/>
        <w:spacing w:before="0" w:after="80"/>
        <w:jc w:val="start"/>
        <w:rPr>
          <w:rFonts w:ascii="Times New Roman" w:hAnsi="Times New Roman" w:eastAsia="Times New Roman" w:cs="Times New Roman"/>
          <w:sz w:val="20"/>
          <w:szCs w:val="20"/>
        </w:rPr>
      </w:pPr>
      <w:r>
        <w:rPr>
          <w:rFonts w:eastAsia="Times New Roman" w:cs="Times New Roman"/>
          <w:sz w:val="20"/>
          <w:szCs w:val="20"/>
        </w:rPr>
        <w:t>Afyon Kocatepe Üniversitesi – Yazılım Mühendisliği</w:t>
      </w:r>
    </w:p>
    <w:p>
      <w:pPr>
        <w:pStyle w:val="Normal"/>
        <w:spacing w:before="0" w:after="80"/>
        <w:jc w:val="start"/>
        <w:rPr>
          <w:rFonts w:ascii="Times New Roman" w:hAnsi="Times New Roman" w:eastAsia="Times New Roman" w:cs="Times New Roman"/>
          <w:sz w:val="20"/>
          <w:szCs w:val="20"/>
        </w:rPr>
      </w:pPr>
      <w:hyperlink r:id="rId2">
        <w:r>
          <w:rPr>
            <w:rStyle w:val="Hyperlink"/>
            <w:rFonts w:eastAsia="Times New Roman" w:cs="Times New Roman"/>
            <w:sz w:val="20"/>
            <w:szCs w:val="20"/>
          </w:rPr>
          <w:t>cihanozden.resmi@gmail.com</w:t>
        </w:r>
      </w:hyperlink>
    </w:p>
    <w:p>
      <w:pPr>
        <w:pStyle w:val="Normal"/>
        <w:spacing w:before="0" w:after="80"/>
        <w:jc w:val="start"/>
        <w:rPr>
          <w:rFonts w:ascii="Times New Roman" w:hAnsi="Times New Roman" w:eastAsia="Times New Roman" w:cs="Times New Roman"/>
          <w:sz w:val="20"/>
          <w:szCs w:val="20"/>
        </w:rPr>
      </w:pPr>
      <w:r>
        <w:rPr>
          <w:rFonts w:eastAsia="Times New Roman" w:cs="Times New Roman"/>
          <w:sz w:val="20"/>
          <w:szCs w:val="20"/>
        </w:rPr>
        <w:t>+90 530 254 11 45</w:t>
      </w:r>
    </w:p>
    <w:p>
      <w:pPr>
        <w:pStyle w:val="Normal"/>
        <w:rPr/>
      </w:pPr>
      <w:r>
        <w:rPr/>
      </w:r>
    </w:p>
    <w:p>
      <w:pPr>
        <w:pStyle w:val="Normal"/>
        <w:rPr/>
      </w:pPr>
      <w:r>
        <w:rPr/>
      </w:r>
    </w:p>
    <w:p>
      <w:pPr>
        <w:pStyle w:val="Normal"/>
        <w:spacing w:before="0" w:after="160"/>
        <w:jc w:val="center"/>
        <w:rPr/>
      </w:pPr>
      <w:r>
        <w:rPr>
          <w:rFonts w:eastAsia="Times New Roman" w:cs="Times New Roman"/>
          <w:b/>
          <w:bCs/>
          <w:color w:val="1F3864"/>
          <w:sz w:val="24"/>
          <w:szCs w:val="24"/>
        </w:rPr>
        <w:t>1. GİRİŞ</w:t>
      </w:r>
    </w:p>
    <w:p>
      <w:pPr>
        <w:pStyle w:val="Normal"/>
        <w:spacing w:lineRule="auto" w:line="276" w:before="60" w:after="60"/>
        <w:ind w:firstLine="720"/>
        <w:jc w:val="both"/>
        <w:rPr/>
      </w:pPr>
      <w:r>
        <w:rPr>
          <w:rFonts w:eastAsia="Times New Roman" w:cs="Times New Roman"/>
          <w:sz w:val="20"/>
          <w:szCs w:val="20"/>
        </w:rPr>
        <w:t>Gömülü sistemler; mikrodenetleyiciler, sensörler, haberleşme modülleri ve gerçek zamanlı işletim sistemlerinin bir arada kullanıldığı, derinlemesine teknik bilgi gerektiren karmaşık alanlardır. Roket aviyoniği, insansız hava araçları ve endüstriyel otomasyon gibi kritik sistemlerde çalışan mühendisler; ADC, IMU, UART, SPI gibi donanım birimlerine ilişkin teknik ayrıntılara hızla erişme ihtiyacı duymaktadır. Bu erişimin gecikmesi, geliştirme süreçlerini yavaşlatmakta ve hata riskini artırmaktadır.</w:t>
      </w:r>
    </w:p>
    <w:p>
      <w:pPr>
        <w:pStyle w:val="Normal"/>
        <w:spacing w:lineRule="auto" w:line="276" w:before="60" w:after="60"/>
        <w:ind w:firstLine="720"/>
        <w:jc w:val="both"/>
        <w:rPr/>
      </w:pPr>
      <w:r>
        <w:rPr>
          <w:rFonts w:eastAsia="Times New Roman" w:cs="Times New Roman"/>
          <w:sz w:val="20"/>
          <w:szCs w:val="20"/>
        </w:rPr>
        <w:t>Büyük dil modellerinin (LLM) mühendislik alanındaki yükselişi, alana özgü bilgiyi öğrenen ve doğal dilde yanıt üretebilen akıllı asistanların geliştirilmesini mümkün kılmıştır. Ancak genel amaçlı modeller; gömülü sistem terminolojisi, donanım kayıt haritaları ve projeye özgü bağlam konularında yetersiz kalmaktadır.</w:t>
      </w:r>
    </w:p>
    <w:p>
      <w:pPr>
        <w:pStyle w:val="Normal"/>
        <w:spacing w:lineRule="auto" w:line="276" w:before="60" w:after="60"/>
        <w:ind w:firstLine="720"/>
        <w:jc w:val="both"/>
        <w:rPr/>
      </w:pPr>
      <w:r>
        <w:rPr>
          <w:rFonts w:eastAsia="Times New Roman" w:cs="Times New Roman"/>
          <w:sz w:val="20"/>
          <w:szCs w:val="20"/>
        </w:rPr>
        <w:t>Bu gereksinimden hareketle TARS (T</w:t>
      </w:r>
      <w:r>
        <w:rPr>
          <w:rFonts w:eastAsia="Times New Roman" w:cs="Times New Roman"/>
          <w:sz w:val="20"/>
          <w:szCs w:val="20"/>
        </w:rPr>
        <w:t>eknik Araştırma ve Sorgu Sistemi</w:t>
      </w:r>
      <w:r>
        <w:rPr>
          <w:rFonts w:eastAsia="Times New Roman" w:cs="Times New Roman"/>
          <w:sz w:val="20"/>
          <w:szCs w:val="20"/>
        </w:rPr>
        <w:t>) projesi doğmuştur. Projenin amacı, gömülü sistemler üzerinde çalışırken teknik detaylara erişimde harcanan zamanı azaltmak ve mühendise anlık, güvenilir Türkçe yanıtlar üretebilen bir dil modeli sunmaktır. Uzun vadede TARS'ın Streamlit veya Gradio tabanlı bir chatbot arayüzüne dönüştürülmesi, Ollama üzerinden yerel çalışması ve konuşma geçmişini hatırlayan bir bellek mekanizmasıyla güçlendirilmesi planlanmaktadır.</w:t>
      </w:r>
    </w:p>
    <w:p>
      <w:pPr>
        <w:pStyle w:val="Normal"/>
        <w:spacing w:lineRule="auto" w:line="276" w:before="60" w:after="60"/>
        <w:ind w:firstLine="720"/>
        <w:jc w:val="both"/>
        <w:rPr/>
      </w:pPr>
      <w:r>
        <w:rPr>
          <w:rFonts w:eastAsia="Times New Roman" w:cs="Times New Roman"/>
          <w:sz w:val="20"/>
          <w:szCs w:val="20"/>
        </w:rPr>
        <w:t>Bu rapor; TARS için uygulanan QLoRA (Quantized Low-Rank Adaptation) yöntemiyle gerçekleştirilen dil modeli ince ayarının ve RAG (Retrieval-Augmented Generation) tabanlı bilgi geri çağırma sisteminin tasarımını, uygulama detaylarını ve elde edilen sonuçları aktarmaktadır.</w:t>
      </w:r>
    </w:p>
    <w:p>
      <w:pPr>
        <w:pStyle w:val="Normal"/>
        <w:rPr/>
      </w:pPr>
      <w:r>
        <w:rPr/>
      </w:r>
    </w:p>
    <w:p>
      <w:pPr>
        <w:pStyle w:val="Normal"/>
        <w:spacing w:before="240" w:after="160"/>
        <w:jc w:val="center"/>
        <w:rPr/>
      </w:pPr>
      <w:r>
        <w:rPr>
          <w:rFonts w:eastAsia="Times New Roman" w:cs="Times New Roman"/>
          <w:b/>
          <w:bCs/>
          <w:color w:val="1F3864"/>
          <w:sz w:val="24"/>
          <w:szCs w:val="24"/>
        </w:rPr>
        <w:t>2. VERİ KÜMESİ</w:t>
      </w:r>
    </w:p>
    <w:p>
      <w:pPr>
        <w:pStyle w:val="Normal"/>
        <w:spacing w:lineRule="auto" w:line="276" w:before="60" w:after="60"/>
        <w:ind w:firstLine="720"/>
        <w:jc w:val="both"/>
        <w:rPr/>
      </w:pPr>
      <w:r>
        <w:rPr>
          <w:rFonts w:eastAsia="Times New Roman" w:cs="Times New Roman"/>
          <w:sz w:val="20"/>
          <w:szCs w:val="20"/>
        </w:rPr>
        <w:t>Projede kullanılan veri kümesi iki ana bileşenden oluşmaktadır. Birinci bileşen, gömülü sistemler alanındaki 20'ye yakın teknik kaynaktan derlenen Word (.docx) ve PDF formatındaki belgelerdir; bu belgeler ADC, IMU, UART, SPI, entegrasyon raporları ve sistem mimarisi gibi konuları kapsamakta olup docs/ dizini altında 17 ayrı dosya olarak tutulmaktadır. İkinci bileşen ise Alpaca formatında — her satırda instruction, input ve output alanları barındıran — 3</w:t>
      </w:r>
      <w:r>
        <w:rPr>
          <w:rFonts w:eastAsia="Times New Roman" w:cs="Times New Roman"/>
          <w:sz w:val="20"/>
          <w:szCs w:val="20"/>
        </w:rPr>
        <w:t>80+</w:t>
      </w:r>
      <w:r>
        <w:rPr>
          <w:rFonts w:eastAsia="Times New Roman" w:cs="Times New Roman"/>
          <w:sz w:val="20"/>
          <w:szCs w:val="20"/>
        </w:rPr>
        <w:t xml:space="preserve"> soru-cevap çiftinden oluşan JSONL verisidir. Bu veri, ince ayar sırasında modele gömülü sistem sorularına nasıl Türkçe yanıt verileceğini doğrudan öğretmek amacıyla kullanılmıştır.</w:t>
      </w:r>
    </w:p>
    <w:p>
      <w:pPr>
        <w:pStyle w:val="Normal"/>
        <w:spacing w:lineRule="auto" w:line="276" w:before="60" w:after="60"/>
        <w:ind w:firstLine="720"/>
        <w:jc w:val="both"/>
        <w:rPr>
          <w:rFonts w:ascii="Times New Roman" w:hAnsi="Times New Roman" w:eastAsia="Times New Roman" w:cs="Times New Roman"/>
          <w:sz w:val="20"/>
          <w:szCs w:val="20"/>
        </w:rPr>
      </w:pPr>
      <w:r>
        <w:rPr>
          <w:rFonts w:eastAsia="Times New Roman" w:cs="Times New Roman"/>
          <w:sz w:val="20"/>
          <w:szCs w:val="20"/>
        </w:rPr>
      </w:r>
    </w:p>
    <w:p>
      <w:pPr>
        <w:pStyle w:val="Normal"/>
        <w:spacing w:lineRule="auto" w:line="276" w:before="60" w:after="60"/>
        <w:ind w:firstLine="720"/>
        <w:jc w:val="both"/>
        <w:rPr>
          <w:rFonts w:ascii="Times New Roman" w:hAnsi="Times New Roman" w:eastAsia="Times New Roman" w:cs="Times New Roman"/>
          <w:sz w:val="20"/>
          <w:szCs w:val="20"/>
        </w:rPr>
      </w:pPr>
      <w:r>
        <w:rPr>
          <w:rFonts w:eastAsia="Times New Roman" w:cs="Times New Roman"/>
          <w:sz w:val="20"/>
          <w:szCs w:val="20"/>
        </w:rPr>
      </w:r>
    </w:p>
    <w:p>
      <w:pPr>
        <w:pStyle w:val="Normal"/>
        <w:spacing w:lineRule="auto" w:line="276" w:before="60" w:after="60"/>
        <w:ind w:firstLine="720"/>
        <w:jc w:val="both"/>
        <w:rPr>
          <w:rFonts w:ascii="Times New Roman" w:hAnsi="Times New Roman" w:eastAsia="Times New Roman" w:cs="Times New Roman"/>
          <w:sz w:val="20"/>
          <w:szCs w:val="20"/>
        </w:rPr>
      </w:pPr>
      <w:r>
        <w:rPr>
          <w:rFonts w:eastAsia="Times New Roman" w:cs="Times New Roman"/>
          <w:sz w:val="20"/>
          <w:szCs w:val="20"/>
        </w:rPr>
      </w:r>
    </w:p>
    <w:p>
      <w:pPr>
        <w:pStyle w:val="Normal"/>
        <w:rPr/>
      </w:pPr>
      <w:r>
        <w:rPr/>
      </w:r>
    </w:p>
    <w:p>
      <w:pPr>
        <w:pStyle w:val="Normal"/>
        <w:spacing w:before="240" w:after="160"/>
        <w:jc w:val="center"/>
        <w:rPr/>
      </w:pPr>
      <w:r>
        <w:rPr>
          <w:rFonts w:eastAsia="Times New Roman" w:cs="Times New Roman"/>
          <w:b/>
          <w:bCs/>
          <w:color w:val="1F3864"/>
          <w:sz w:val="24"/>
          <w:szCs w:val="24"/>
        </w:rPr>
        <w:t>3. YÖNTEM</w:t>
      </w:r>
    </w:p>
    <w:p>
      <w:pPr>
        <w:pStyle w:val="Normal"/>
        <w:pBdr>
          <w:bottom w:val="single" w:sz="4" w:space="1" w:color="1F3864"/>
        </w:pBdr>
        <w:spacing w:before="200" w:after="100"/>
        <w:rPr/>
      </w:pPr>
      <w:r>
        <w:rPr>
          <w:rFonts w:eastAsia="Times New Roman" w:cs="Times New Roman"/>
          <w:b/>
          <w:bCs/>
          <w:color w:val="1F3864"/>
          <w:sz w:val="20"/>
          <w:szCs w:val="20"/>
        </w:rPr>
        <w:t>3.1 Genel Mimari</w:t>
      </w:r>
    </w:p>
    <w:p>
      <w:pPr>
        <w:pStyle w:val="Normal"/>
        <w:spacing w:lineRule="auto" w:line="276" w:before="60" w:after="60"/>
        <w:ind w:firstLine="720"/>
        <w:jc w:val="both"/>
        <w:rPr/>
      </w:pPr>
      <w:r>
        <w:rPr>
          <w:rFonts w:eastAsia="Times New Roman" w:cs="Times New Roman"/>
          <w:sz w:val="20"/>
          <w:szCs w:val="20"/>
        </w:rPr>
        <w:t>TARS iki bağımsız ama birbirini tamamlayan bileşenden oluşmaktadır. Birinci bileşen, JSONL verisiyle ince ayar yapılmış bir dil modeli olan QLoRA modülüdür; bu modül gömülü sistem sorularına doğrudan Türkçe yanıt üretir. İkinci bileşen ise docs/ ve JSONL içeriğini vektör veritabanına indeksleyen RAG modülüdür; bu modül ilgili doküman parçalarını bulup modele bağlam olarak sunar. İki bileşenin birleştirilmesi projenin sonraki aşamasında planlanmaktadır.</w:t>
      </w:r>
    </w:p>
    <w:p>
      <w:pPr>
        <w:pStyle w:val="Normal"/>
        <w:pBdr>
          <w:bottom w:val="single" w:sz="4" w:space="1" w:color="1F3864"/>
        </w:pBdr>
        <w:spacing w:before="200" w:after="100"/>
        <w:rPr/>
      </w:pPr>
      <w:r>
        <w:rPr>
          <w:rFonts w:eastAsia="Times New Roman" w:cs="Times New Roman"/>
          <w:b/>
          <w:bCs/>
          <w:color w:val="1F3864"/>
          <w:sz w:val="20"/>
          <w:szCs w:val="20"/>
        </w:rPr>
        <w:t>3.2 Temel Model Seçimi: Qwen2.5-0.5B-Instruct</w:t>
      </w:r>
    </w:p>
    <w:p>
      <w:pPr>
        <w:pStyle w:val="Normal"/>
        <w:spacing w:lineRule="auto" w:line="276" w:before="60" w:after="60"/>
        <w:ind w:firstLine="720"/>
        <w:jc w:val="both"/>
        <w:rPr/>
      </w:pPr>
      <w:r>
        <w:rPr>
          <w:rFonts w:eastAsia="Times New Roman" w:cs="Times New Roman"/>
          <w:sz w:val="20"/>
          <w:szCs w:val="20"/>
        </w:rPr>
        <w:t>İnce ayar için Alibaba tarafından geliştirilen Qwen2.5-0.5B-Instruct modeli tercih edilmiştir. Bu modelin seçilmesinin üç temel gerekçesi vardır: 500 milyon parametresiyle Google Colab ücretsiz T4 GPU (15 GB VRAM) üzerinde 4-bit kuantizasyonla rahat çalışması, çok dilli ön eğitimi sayesinde Türkçe instruction-output çiftlerini anlayabilmesi ve Instruct versiyonunun soru-cevap formatına hazır bir chat şablonu sunmasıdır.</w:t>
      </w:r>
    </w:p>
    <w:p>
      <w:pPr>
        <w:pStyle w:val="Normal"/>
        <w:pBdr>
          <w:bottom w:val="single" w:sz="4" w:space="1" w:color="1F3864"/>
        </w:pBdr>
        <w:spacing w:before="200" w:after="100"/>
        <w:rPr/>
      </w:pPr>
      <w:r>
        <w:rPr>
          <w:rFonts w:eastAsia="Times New Roman" w:cs="Times New Roman"/>
          <w:b/>
          <w:bCs/>
          <w:color w:val="1F3864"/>
          <w:sz w:val="20"/>
          <w:szCs w:val="20"/>
        </w:rPr>
        <w:t>3.3 QLoRA Yöntemi</w:t>
      </w:r>
    </w:p>
    <w:p>
      <w:pPr>
        <w:pStyle w:val="Normal"/>
        <w:spacing w:lineRule="auto" w:line="276" w:before="60" w:after="60"/>
        <w:ind w:firstLine="720"/>
        <w:jc w:val="both"/>
        <w:rPr/>
      </w:pPr>
      <w:r>
        <w:rPr>
          <w:rFonts w:eastAsia="Times New Roman" w:cs="Times New Roman"/>
          <w:sz w:val="20"/>
          <w:szCs w:val="20"/>
        </w:rPr>
        <w:t xml:space="preserve">QLoRA (Quantized LoRA), standart LoRA yöntemini 4-bit kuantizasyonla birleştirerek bellek gereksinimini önemli ölçüde azaltır. Temel formül aynı kalmaktadır: </w:t>
      </w:r>
      <w:r>
        <w:rPr>
          <w:rFonts w:eastAsia="Times New Roman" w:cs="Times New Roman"/>
          <w:b/>
          <w:bCs/>
          <w:sz w:val="20"/>
          <w:szCs w:val="20"/>
        </w:rPr>
        <w:t>W' = W₀ + (α/r) · B · A</w:t>
      </w:r>
      <w:r>
        <w:rPr>
          <w:rFonts w:eastAsia="Times New Roman" w:cs="Times New Roman"/>
          <w:sz w:val="20"/>
          <w:szCs w:val="20"/>
        </w:rPr>
        <w:t>. Burada W₀ 4-bit olarak dondurulmuş orijinal ağırlıkları, A ve B ise tam hassasiyette (bf16) eğitilen düşük ranklı adaptör matrislerini temsil eder. Kuantizasyon tipi NF4 (Normal Float 4) kullanılmış; double quantization ile ek bellek tasarrufu sağlanmıştır.</w:t>
      </w:r>
    </w:p>
    <w:p>
      <w:pPr>
        <w:pStyle w:val="Normal"/>
        <w:rPr/>
      </w:pPr>
      <w:r>
        <w:rPr/>
      </w:r>
    </w:p>
    <w:p>
      <w:pPr>
        <w:pStyle w:val="Normal"/>
        <w:spacing w:before="60" w:after="80"/>
        <w:jc w:val="center"/>
        <w:rPr/>
      </w:pPr>
      <w:r>
        <w:rPr>
          <w:rFonts w:eastAsia="Times New Roman" w:cs="Times New Roman"/>
          <w:b/>
          <w:bCs/>
          <w:sz w:val="18"/>
          <w:szCs w:val="18"/>
        </w:rPr>
        <w:t>Tablo 1. QLoRA Konfigürasyon Parametreleri</w:t>
      </w:r>
    </w:p>
    <w:tbl>
      <w:tblPr>
        <w:tblW w:w="9026" w:type="dxa"/>
        <w:jc w:val="start"/>
        <w:tblInd w:w="0" w:type="dxa"/>
        <w:tblLayout w:type="fixed"/>
        <w:tblCellMar>
          <w:top w:w="80" w:type="dxa"/>
          <w:start w:w="120" w:type="dxa"/>
          <w:bottom w:w="80" w:type="dxa"/>
          <w:end w:w="120" w:type="dxa"/>
        </w:tblCellMar>
      </w:tblPr>
      <w:tblGrid>
        <w:gridCol w:w="3500"/>
        <w:gridCol w:w="5526"/>
      </w:tblGrid>
      <w:tr>
        <w:trPr/>
        <w:tc>
          <w:tcPr>
            <w:tcW w:w="3500" w:type="dxa"/>
            <w:tcBorders>
              <w:top w:val="single" w:sz="4" w:space="0" w:color="AAAAAA"/>
              <w:start w:val="single" w:sz="4" w:space="0" w:color="AAAAAA"/>
              <w:bottom w:val="single" w:sz="4" w:space="0" w:color="AAAAAA"/>
              <w:end w:val="single" w:sz="4" w:space="0" w:color="AAAAAA"/>
            </w:tcBorders>
            <w:shd w:fill="1F3864" w:val="clear"/>
            <w:vAlign w:val="center"/>
          </w:tcPr>
          <w:p>
            <w:pPr>
              <w:pStyle w:val="Normal"/>
              <w:jc w:val="center"/>
              <w:rPr/>
            </w:pPr>
            <w:r>
              <w:rPr>
                <w:rFonts w:eastAsia="Times New Roman" w:cs="Times New Roman"/>
                <w:b/>
                <w:bCs/>
                <w:color w:val="FFFFFF"/>
                <w:sz w:val="18"/>
                <w:szCs w:val="18"/>
              </w:rPr>
              <w:t>Parametre</w:t>
            </w:r>
          </w:p>
        </w:tc>
        <w:tc>
          <w:tcPr>
            <w:tcW w:w="5526" w:type="dxa"/>
            <w:tcBorders>
              <w:top w:val="single" w:sz="4" w:space="0" w:color="AAAAAA"/>
              <w:start w:val="single" w:sz="4" w:space="0" w:color="AAAAAA"/>
              <w:bottom w:val="single" w:sz="4" w:space="0" w:color="AAAAAA"/>
              <w:end w:val="single" w:sz="4" w:space="0" w:color="AAAAAA"/>
            </w:tcBorders>
            <w:shd w:fill="1F3864" w:val="clear"/>
            <w:vAlign w:val="center"/>
          </w:tcPr>
          <w:p>
            <w:pPr>
              <w:pStyle w:val="Normal"/>
              <w:jc w:val="center"/>
              <w:rPr/>
            </w:pPr>
            <w:r>
              <w:rPr>
                <w:rFonts w:eastAsia="Times New Roman" w:cs="Times New Roman"/>
                <w:b/>
                <w:bCs/>
                <w:color w:val="FFFFFF"/>
                <w:sz w:val="18"/>
                <w:szCs w:val="18"/>
              </w:rPr>
              <w:t>Değer</w:t>
            </w:r>
          </w:p>
        </w:tc>
      </w:tr>
      <w:tr>
        <w:trPr/>
        <w:tc>
          <w:tcPr>
            <w:tcW w:w="3500"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rPr>
                <w:rFonts w:eastAsia="Times New Roman" w:cs="Times New Roman"/>
                <w:b w:val="false"/>
                <w:bCs w:val="false"/>
                <w:color w:val="000000"/>
                <w:sz w:val="18"/>
                <w:szCs w:val="18"/>
              </w:rPr>
              <w:t>Temel model</w:t>
            </w:r>
          </w:p>
        </w:tc>
        <w:tc>
          <w:tcPr>
            <w:tcW w:w="5526"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rPr>
                <w:rFonts w:eastAsia="Times New Roman" w:cs="Times New Roman"/>
                <w:b w:val="false"/>
                <w:bCs w:val="false"/>
                <w:color w:val="000000"/>
                <w:sz w:val="18"/>
                <w:szCs w:val="18"/>
              </w:rPr>
              <w:t>Qwen2.5-0.5B-Instruct</w:t>
            </w:r>
          </w:p>
        </w:tc>
      </w:tr>
      <w:tr>
        <w:trPr/>
        <w:tc>
          <w:tcPr>
            <w:tcW w:w="3500" w:type="dxa"/>
            <w:tcBorders>
              <w:top w:val="single" w:sz="4" w:space="0" w:color="AAAAAA"/>
              <w:start w:val="single" w:sz="4" w:space="0" w:color="AAAAAA"/>
              <w:bottom w:val="single" w:sz="4" w:space="0" w:color="AAAAAA"/>
              <w:end w:val="single" w:sz="4" w:space="0" w:color="AAAAAA"/>
            </w:tcBorders>
            <w:vAlign w:val="center"/>
          </w:tcPr>
          <w:p>
            <w:pPr>
              <w:pStyle w:val="Normal"/>
              <w:jc w:val="center"/>
              <w:rPr/>
            </w:pPr>
            <w:r>
              <w:rPr>
                <w:rFonts w:eastAsia="Times New Roman" w:cs="Times New Roman"/>
                <w:b w:val="false"/>
                <w:bCs w:val="false"/>
                <w:color w:val="000000"/>
                <w:sz w:val="18"/>
                <w:szCs w:val="18"/>
              </w:rPr>
              <w:t>Kuantizasyon</w:t>
            </w:r>
          </w:p>
        </w:tc>
        <w:tc>
          <w:tcPr>
            <w:tcW w:w="5526" w:type="dxa"/>
            <w:tcBorders>
              <w:top w:val="single" w:sz="4" w:space="0" w:color="AAAAAA"/>
              <w:start w:val="single" w:sz="4" w:space="0" w:color="AAAAAA"/>
              <w:bottom w:val="single" w:sz="4" w:space="0" w:color="AAAAAA"/>
              <w:end w:val="single" w:sz="4" w:space="0" w:color="AAAAAA"/>
            </w:tcBorders>
            <w:vAlign w:val="center"/>
          </w:tcPr>
          <w:p>
            <w:pPr>
              <w:pStyle w:val="Normal"/>
              <w:jc w:val="center"/>
              <w:rPr/>
            </w:pPr>
            <w:r>
              <w:rPr>
                <w:rFonts w:eastAsia="Times New Roman" w:cs="Times New Roman"/>
                <w:b w:val="false"/>
                <w:bCs w:val="false"/>
                <w:color w:val="000000"/>
                <w:sz w:val="18"/>
                <w:szCs w:val="18"/>
              </w:rPr>
              <w:t>4-bit NF4 (double quant)</w:t>
            </w:r>
          </w:p>
        </w:tc>
      </w:tr>
      <w:tr>
        <w:trPr/>
        <w:tc>
          <w:tcPr>
            <w:tcW w:w="3500"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rPr>
                <w:rFonts w:eastAsia="Times New Roman" w:cs="Times New Roman"/>
                <w:b w:val="false"/>
                <w:bCs w:val="false"/>
                <w:color w:val="000000"/>
                <w:sz w:val="18"/>
                <w:szCs w:val="18"/>
              </w:rPr>
              <w:t>LoRA rank (r)</w:t>
            </w:r>
          </w:p>
        </w:tc>
        <w:tc>
          <w:tcPr>
            <w:tcW w:w="5526"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rPr>
                <w:rFonts w:eastAsia="Times New Roman" w:cs="Times New Roman"/>
                <w:b w:val="false"/>
                <w:bCs w:val="false"/>
                <w:color w:val="000000"/>
                <w:sz w:val="18"/>
                <w:szCs w:val="18"/>
              </w:rPr>
              <w:t>16</w:t>
            </w:r>
          </w:p>
        </w:tc>
      </w:tr>
      <w:tr>
        <w:trPr/>
        <w:tc>
          <w:tcPr>
            <w:tcW w:w="3500" w:type="dxa"/>
            <w:tcBorders>
              <w:top w:val="single" w:sz="4" w:space="0" w:color="AAAAAA"/>
              <w:start w:val="single" w:sz="4" w:space="0" w:color="AAAAAA"/>
              <w:bottom w:val="single" w:sz="4" w:space="0" w:color="AAAAAA"/>
              <w:end w:val="single" w:sz="4" w:space="0" w:color="AAAAAA"/>
            </w:tcBorders>
            <w:vAlign w:val="center"/>
          </w:tcPr>
          <w:p>
            <w:pPr>
              <w:pStyle w:val="Normal"/>
              <w:jc w:val="center"/>
              <w:rPr/>
            </w:pPr>
            <w:r>
              <w:rPr>
                <w:rFonts w:eastAsia="Times New Roman" w:cs="Times New Roman"/>
                <w:b w:val="false"/>
                <w:bCs w:val="false"/>
                <w:color w:val="000000"/>
                <w:sz w:val="18"/>
                <w:szCs w:val="18"/>
              </w:rPr>
              <w:t>LoRA alpha (α)</w:t>
            </w:r>
          </w:p>
        </w:tc>
        <w:tc>
          <w:tcPr>
            <w:tcW w:w="5526" w:type="dxa"/>
            <w:tcBorders>
              <w:top w:val="single" w:sz="4" w:space="0" w:color="AAAAAA"/>
              <w:start w:val="single" w:sz="4" w:space="0" w:color="AAAAAA"/>
              <w:bottom w:val="single" w:sz="4" w:space="0" w:color="AAAAAA"/>
              <w:end w:val="single" w:sz="4" w:space="0" w:color="AAAAAA"/>
            </w:tcBorders>
            <w:vAlign w:val="center"/>
          </w:tcPr>
          <w:p>
            <w:pPr>
              <w:pStyle w:val="Normal"/>
              <w:jc w:val="center"/>
              <w:rPr/>
            </w:pPr>
            <w:r>
              <w:rPr>
                <w:rFonts w:eastAsia="Times New Roman" w:cs="Times New Roman"/>
                <w:b w:val="false"/>
                <w:bCs w:val="false"/>
                <w:color w:val="000000"/>
                <w:sz w:val="18"/>
                <w:szCs w:val="18"/>
              </w:rPr>
              <w:t>32  →  scale = α/r = 2.0</w:t>
            </w:r>
          </w:p>
        </w:tc>
      </w:tr>
      <w:tr>
        <w:trPr/>
        <w:tc>
          <w:tcPr>
            <w:tcW w:w="3500"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rPr>
                <w:rFonts w:eastAsia="Times New Roman" w:cs="Times New Roman"/>
                <w:b w:val="false"/>
                <w:bCs w:val="false"/>
                <w:color w:val="000000"/>
                <w:sz w:val="18"/>
                <w:szCs w:val="18"/>
              </w:rPr>
              <w:t>Hedef katmanlar</w:t>
            </w:r>
          </w:p>
        </w:tc>
        <w:tc>
          <w:tcPr>
            <w:tcW w:w="5526"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rPr>
                <w:rFonts w:eastAsia="Times New Roman" w:cs="Times New Roman"/>
                <w:b w:val="false"/>
                <w:bCs w:val="false"/>
                <w:color w:val="000000"/>
                <w:sz w:val="18"/>
                <w:szCs w:val="18"/>
              </w:rPr>
              <w:t>q_proj, k_proj, v_proj, o_proj, gate_proj, up_proj, down_proj</w:t>
            </w:r>
          </w:p>
        </w:tc>
      </w:tr>
      <w:tr>
        <w:trPr/>
        <w:tc>
          <w:tcPr>
            <w:tcW w:w="3500" w:type="dxa"/>
            <w:tcBorders>
              <w:top w:val="single" w:sz="4" w:space="0" w:color="AAAAAA"/>
              <w:start w:val="single" w:sz="4" w:space="0" w:color="AAAAAA"/>
              <w:bottom w:val="single" w:sz="4" w:space="0" w:color="AAAAAA"/>
              <w:end w:val="single" w:sz="4" w:space="0" w:color="AAAAAA"/>
            </w:tcBorders>
            <w:vAlign w:val="center"/>
          </w:tcPr>
          <w:p>
            <w:pPr>
              <w:pStyle w:val="Normal"/>
              <w:jc w:val="center"/>
              <w:rPr/>
            </w:pPr>
            <w:r>
              <w:rPr>
                <w:rFonts w:eastAsia="Times New Roman" w:cs="Times New Roman"/>
                <w:b w:val="false"/>
                <w:bCs w:val="false"/>
                <w:color w:val="000000"/>
                <w:sz w:val="18"/>
                <w:szCs w:val="18"/>
              </w:rPr>
              <w:t>LoRA dropout</w:t>
            </w:r>
          </w:p>
        </w:tc>
        <w:tc>
          <w:tcPr>
            <w:tcW w:w="5526" w:type="dxa"/>
            <w:tcBorders>
              <w:top w:val="single" w:sz="4" w:space="0" w:color="AAAAAA"/>
              <w:start w:val="single" w:sz="4" w:space="0" w:color="AAAAAA"/>
              <w:bottom w:val="single" w:sz="4" w:space="0" w:color="AAAAAA"/>
              <w:end w:val="single" w:sz="4" w:space="0" w:color="AAAAAA"/>
            </w:tcBorders>
            <w:vAlign w:val="center"/>
          </w:tcPr>
          <w:p>
            <w:pPr>
              <w:pStyle w:val="Normal"/>
              <w:jc w:val="center"/>
              <w:rPr/>
            </w:pPr>
            <w:r>
              <w:rPr>
                <w:rFonts w:eastAsia="Times New Roman" w:cs="Times New Roman"/>
                <w:b w:val="false"/>
                <w:bCs w:val="false"/>
                <w:color w:val="000000"/>
                <w:sz w:val="18"/>
                <w:szCs w:val="18"/>
              </w:rPr>
              <w:t>0.05</w:t>
            </w:r>
          </w:p>
        </w:tc>
      </w:tr>
      <w:tr>
        <w:trPr/>
        <w:tc>
          <w:tcPr>
            <w:tcW w:w="3500"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rPr>
                <w:rFonts w:eastAsia="Times New Roman" w:cs="Times New Roman"/>
                <w:b w:val="false"/>
                <w:bCs w:val="false"/>
                <w:color w:val="000000"/>
                <w:sz w:val="18"/>
                <w:szCs w:val="18"/>
              </w:rPr>
              <w:t>Compute dtype</w:t>
            </w:r>
          </w:p>
        </w:tc>
        <w:tc>
          <w:tcPr>
            <w:tcW w:w="5526"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rPr>
                <w:rFonts w:eastAsia="Times New Roman" w:cs="Times New Roman"/>
                <w:b w:val="false"/>
                <w:bCs w:val="false"/>
                <w:color w:val="000000"/>
                <w:sz w:val="18"/>
                <w:szCs w:val="18"/>
              </w:rPr>
              <w:t>bfloat16</w:t>
            </w:r>
          </w:p>
        </w:tc>
      </w:tr>
    </w:tbl>
    <w:p>
      <w:pPr>
        <w:pStyle w:val="Normal"/>
        <w:rPr/>
      </w:pPr>
      <w:r>
        <w:rPr/>
      </w:r>
    </w:p>
    <w:p>
      <w:pPr>
        <w:pStyle w:val="Normal"/>
        <w:pBdr>
          <w:bottom w:val="single" w:sz="4" w:space="1" w:color="1F3864"/>
        </w:pBdr>
        <w:spacing w:before="200" w:after="100"/>
        <w:rPr/>
      </w:pPr>
      <w:r>
        <w:rPr>
          <w:rFonts w:eastAsia="Times New Roman" w:cs="Times New Roman"/>
          <w:b/>
          <w:bCs/>
          <w:color w:val="1F3864"/>
          <w:sz w:val="20"/>
          <w:szCs w:val="20"/>
        </w:rPr>
        <w:t>3.4 Veri Formatlama — Alpaca → Chat Şablonu</w:t>
      </w:r>
    </w:p>
    <w:p>
      <w:pPr>
        <w:pStyle w:val="Normal"/>
        <w:spacing w:lineRule="auto" w:line="276" w:before="60" w:after="60"/>
        <w:ind w:firstLine="720"/>
        <w:jc w:val="both"/>
        <w:rPr/>
      </w:pPr>
      <w:r>
        <w:rPr>
          <w:rFonts w:eastAsia="Times New Roman" w:cs="Times New Roman"/>
          <w:sz w:val="20"/>
          <w:szCs w:val="20"/>
        </w:rPr>
        <w:t>JSONL'deki instruction/input/output üçlüsü, Qwen2.5-Instruct'ın beklediği ChatML formatına dönüştürülmüştür. Her örnek şu yapıya çevrilmiştir:</w:t>
      </w:r>
    </w:p>
    <w:p>
      <w:pPr>
        <w:pStyle w:val="Normal"/>
        <w:rPr/>
      </w:pPr>
      <w:r>
        <w:rPr/>
      </w:r>
    </w:p>
    <w:p>
      <w:pPr>
        <w:pStyle w:val="Normal"/>
        <w:spacing w:before="80" w:after="80"/>
        <w:ind w:start="720"/>
        <w:rPr/>
      </w:pPr>
      <w:r>
        <w:rPr>
          <w:rFonts w:eastAsia="Courier New" w:cs="Courier New" w:ascii="Courier New" w:hAnsi="Courier New"/>
          <w:color w:val="1F3864"/>
          <w:sz w:val="18"/>
          <w:szCs w:val="18"/>
        </w:rPr>
        <w:t>&lt;|im_start|&gt;system</w:t>
      </w:r>
      <w:r>
        <w:rPr>
          <w:rFonts w:eastAsia="Courier New" w:cs="Courier New" w:ascii="Courier New" w:hAnsi="Courier New"/>
          <w:sz w:val="18"/>
          <w:szCs w:val="18"/>
        </w:rPr>
        <w:br/>
      </w:r>
      <w:r>
        <w:rPr>
          <w:rFonts w:eastAsia="Courier New" w:cs="Courier New" w:ascii="Courier New" w:hAnsi="Courier New"/>
          <w:color w:val="1F3864"/>
          <w:sz w:val="18"/>
          <w:szCs w:val="18"/>
        </w:rPr>
        <w:t>Sen TARS adlı teknik asistansın. Gömülü sistemler, roket aviyoniği</w:t>
      </w:r>
      <w:r>
        <w:rPr>
          <w:rFonts w:eastAsia="Courier New" w:cs="Courier New" w:ascii="Courier New" w:hAnsi="Courier New"/>
          <w:sz w:val="18"/>
          <w:szCs w:val="18"/>
        </w:rPr>
        <w:br/>
      </w:r>
      <w:r>
        <w:rPr>
          <w:rFonts w:eastAsia="Courier New" w:cs="Courier New" w:ascii="Courier New" w:hAnsi="Courier New"/>
          <w:color w:val="1F3864"/>
          <w:sz w:val="18"/>
          <w:szCs w:val="18"/>
        </w:rPr>
        <w:t>ve elektronik konularında uzman bir yardımcısın.&lt;|im_end|&gt;</w:t>
      </w:r>
      <w:r>
        <w:rPr>
          <w:rFonts w:eastAsia="Courier New" w:cs="Courier New" w:ascii="Courier New" w:hAnsi="Courier New"/>
          <w:sz w:val="18"/>
          <w:szCs w:val="18"/>
        </w:rPr>
        <w:br/>
      </w:r>
      <w:r>
        <w:rPr>
          <w:rFonts w:eastAsia="Courier New" w:cs="Courier New" w:ascii="Courier New" w:hAnsi="Courier New"/>
          <w:color w:val="1F3864"/>
          <w:sz w:val="18"/>
          <w:szCs w:val="18"/>
        </w:rPr>
        <w:t>&lt;|im_start|&gt;user</w:t>
      </w:r>
      <w:r>
        <w:rPr>
          <w:rFonts w:eastAsia="Courier New" w:cs="Courier New" w:ascii="Courier New" w:hAnsi="Courier New"/>
          <w:sz w:val="18"/>
          <w:szCs w:val="18"/>
        </w:rPr>
        <w:br/>
      </w:r>
      <w:r>
        <w:rPr>
          <w:rFonts w:eastAsia="Courier New" w:cs="Courier New" w:ascii="Courier New" w:hAnsi="Courier New"/>
          <w:color w:val="1F3864"/>
          <w:sz w:val="18"/>
          <w:szCs w:val="18"/>
        </w:rPr>
        <w:t>{instruction}  [Bağlam: {input}]&lt;|im_end|&gt;</w:t>
      </w:r>
      <w:r>
        <w:rPr>
          <w:rFonts w:eastAsia="Courier New" w:cs="Courier New" w:ascii="Courier New" w:hAnsi="Courier New"/>
          <w:sz w:val="18"/>
          <w:szCs w:val="18"/>
        </w:rPr>
        <w:br/>
      </w:r>
      <w:r>
        <w:rPr>
          <w:rFonts w:eastAsia="Courier New" w:cs="Courier New" w:ascii="Courier New" w:hAnsi="Courier New"/>
          <w:color w:val="1F3864"/>
          <w:sz w:val="18"/>
          <w:szCs w:val="18"/>
        </w:rPr>
        <w:t>&lt;|im_start|&gt;assistant</w:t>
      </w:r>
      <w:r>
        <w:rPr>
          <w:rFonts w:eastAsia="Courier New" w:cs="Courier New" w:ascii="Courier New" w:hAnsi="Courier New"/>
          <w:sz w:val="18"/>
          <w:szCs w:val="18"/>
        </w:rPr>
        <w:br/>
      </w:r>
      <w:r>
        <w:rPr>
          <w:rFonts w:eastAsia="Courier New" w:cs="Courier New" w:ascii="Courier New" w:hAnsi="Courier New"/>
          <w:color w:val="1F3864"/>
          <w:sz w:val="18"/>
          <w:szCs w:val="18"/>
        </w:rPr>
        <w:t>{output}&lt;|im_end|&gt;</w:t>
      </w:r>
    </w:p>
    <w:p>
      <w:pPr>
        <w:pStyle w:val="Normal"/>
        <w:rPr/>
      </w:pPr>
      <w:r>
        <w:rPr/>
      </w:r>
    </w:p>
    <w:p>
      <w:pPr>
        <w:pStyle w:val="Normal"/>
        <w:spacing w:lineRule="auto" w:line="276" w:before="60" w:after="60"/>
        <w:ind w:firstLine="720"/>
        <w:jc w:val="both"/>
        <w:rPr>
          <w:rFonts w:ascii="Times New Roman" w:hAnsi="Times New Roman" w:eastAsia="Times New Roman" w:cs="Times New Roman"/>
          <w:sz w:val="20"/>
          <w:szCs w:val="20"/>
        </w:rPr>
      </w:pPr>
      <w:r>
        <w:rPr>
          <w:rFonts w:eastAsia="Times New Roman" w:cs="Times New Roman"/>
          <w:sz w:val="20"/>
          <w:szCs w:val="20"/>
        </w:rPr>
        <w:t>Bu formatlama, modelin sistem kişiliğini (TARS kimliği), kullanıcı sorusunu ve beklenen teknik cevabı birlikte görmesini sağlamaktadır. Verinin %90'ı eğitim, %10'u doğrulama için ayrılmıştır.</w:t>
      </w:r>
    </w:p>
    <w:p>
      <w:pPr>
        <w:pStyle w:val="Normal"/>
        <w:spacing w:lineRule="auto" w:line="276" w:before="60" w:after="60"/>
        <w:ind w:firstLine="720"/>
        <w:jc w:val="both"/>
        <w:rPr>
          <w:rFonts w:ascii="Times New Roman" w:hAnsi="Times New Roman" w:eastAsia="Times New Roman" w:cs="Times New Roman"/>
          <w:sz w:val="20"/>
          <w:szCs w:val="20"/>
        </w:rPr>
      </w:pPr>
      <w:r>
        <w:rPr>
          <w:rFonts w:eastAsia="Times New Roman" w:cs="Times New Roman"/>
          <w:sz w:val="20"/>
          <w:szCs w:val="20"/>
        </w:rPr>
      </w:r>
    </w:p>
    <w:p>
      <w:pPr>
        <w:pStyle w:val="Normal"/>
        <w:pBdr>
          <w:bottom w:val="single" w:sz="4" w:space="1" w:color="1F3864"/>
        </w:pBdr>
        <w:spacing w:before="200" w:after="100"/>
        <w:rPr/>
      </w:pPr>
      <w:r>
        <w:rPr>
          <w:rFonts w:eastAsia="Times New Roman" w:cs="Times New Roman"/>
          <w:b/>
          <w:bCs/>
          <w:color w:val="1F3864"/>
          <w:sz w:val="20"/>
          <w:szCs w:val="20"/>
        </w:rPr>
        <w:t>3.5 Eğitim Protokolü</w:t>
      </w:r>
    </w:p>
    <w:p>
      <w:pPr>
        <w:pStyle w:val="Normal"/>
        <w:spacing w:lineRule="auto" w:line="276" w:before="60" w:after="60"/>
        <w:ind w:firstLine="720"/>
        <w:jc w:val="both"/>
        <w:rPr/>
      </w:pPr>
      <w:r>
        <w:rPr>
          <w:rFonts w:eastAsia="Times New Roman" w:cs="Times New Roman"/>
          <w:sz w:val="20"/>
          <w:szCs w:val="20"/>
        </w:rPr>
        <w:t>Eğitim, Google Colab T4 GPU üzerinde Hugging Face TRL kütüphanesinin SFTTrainer sınıfıyla gerçekleştirilmiştir. Efektif batch büyüklüğü 16 (4 batch × 4 gradient accumulation) olarak ayarlanmış, öğrenme hızı cosine decay planıyla 2×10⁻⁴'ten başlayarak azaltılmıştır. 512 token sınırı T4 VRAM'ini korumak için belirlenmiştir.</w:t>
      </w:r>
    </w:p>
    <w:p>
      <w:pPr>
        <w:pStyle w:val="Normal"/>
        <w:spacing w:before="60" w:after="80"/>
        <w:jc w:val="center"/>
        <w:rPr/>
      </w:pPr>
      <w:r>
        <w:rPr>
          <w:rFonts w:eastAsia="Times New Roman" w:cs="Times New Roman"/>
          <w:b/>
          <w:bCs/>
          <w:sz w:val="18"/>
          <w:szCs w:val="18"/>
        </w:rPr>
        <w:t>Tablo 2. Eğitim Hiperparametreleri</w:t>
      </w:r>
    </w:p>
    <w:tbl>
      <w:tblPr>
        <w:tblW w:w="9026" w:type="dxa"/>
        <w:jc w:val="start"/>
        <w:tblInd w:w="0" w:type="dxa"/>
        <w:tblLayout w:type="fixed"/>
        <w:tblCellMar>
          <w:top w:w="80" w:type="dxa"/>
          <w:start w:w="120" w:type="dxa"/>
          <w:bottom w:w="80" w:type="dxa"/>
          <w:end w:w="120" w:type="dxa"/>
        </w:tblCellMar>
      </w:tblPr>
      <w:tblGrid>
        <w:gridCol w:w="3500"/>
        <w:gridCol w:w="5526"/>
      </w:tblGrid>
      <w:tr>
        <w:trPr/>
        <w:tc>
          <w:tcPr>
            <w:tcW w:w="3500" w:type="dxa"/>
            <w:tcBorders>
              <w:top w:val="single" w:sz="4" w:space="0" w:color="AAAAAA"/>
              <w:start w:val="single" w:sz="4" w:space="0" w:color="AAAAAA"/>
              <w:bottom w:val="single" w:sz="4" w:space="0" w:color="AAAAAA"/>
              <w:end w:val="single" w:sz="4" w:space="0" w:color="AAAAAA"/>
            </w:tcBorders>
            <w:shd w:fill="1F3864" w:val="clear"/>
            <w:vAlign w:val="center"/>
          </w:tcPr>
          <w:p>
            <w:pPr>
              <w:pStyle w:val="Normal"/>
              <w:jc w:val="center"/>
              <w:rPr/>
            </w:pPr>
            <w:r>
              <w:rPr>
                <w:rFonts w:eastAsia="Times New Roman" w:cs="Times New Roman"/>
                <w:b/>
                <w:bCs/>
                <w:color w:val="FFFFFF"/>
                <w:sz w:val="18"/>
                <w:szCs w:val="18"/>
              </w:rPr>
              <w:t>Parametre</w:t>
            </w:r>
          </w:p>
        </w:tc>
        <w:tc>
          <w:tcPr>
            <w:tcW w:w="5526" w:type="dxa"/>
            <w:tcBorders>
              <w:top w:val="single" w:sz="4" w:space="0" w:color="AAAAAA"/>
              <w:start w:val="single" w:sz="4" w:space="0" w:color="AAAAAA"/>
              <w:bottom w:val="single" w:sz="4" w:space="0" w:color="AAAAAA"/>
              <w:end w:val="single" w:sz="4" w:space="0" w:color="AAAAAA"/>
            </w:tcBorders>
            <w:shd w:fill="1F3864" w:val="clear"/>
            <w:vAlign w:val="center"/>
          </w:tcPr>
          <w:p>
            <w:pPr>
              <w:pStyle w:val="Normal"/>
              <w:jc w:val="center"/>
              <w:rPr/>
            </w:pPr>
            <w:r>
              <w:rPr>
                <w:rFonts w:eastAsia="Times New Roman" w:cs="Times New Roman"/>
                <w:b/>
                <w:bCs/>
                <w:color w:val="FFFFFF"/>
                <w:sz w:val="18"/>
                <w:szCs w:val="18"/>
              </w:rPr>
              <w:t>Değer</w:t>
            </w:r>
          </w:p>
        </w:tc>
      </w:tr>
      <w:tr>
        <w:trPr/>
        <w:tc>
          <w:tcPr>
            <w:tcW w:w="3500"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rPr>
                <w:rFonts w:eastAsia="Times New Roman" w:cs="Times New Roman"/>
                <w:b w:val="false"/>
                <w:bCs w:val="false"/>
                <w:color w:val="000000"/>
                <w:sz w:val="18"/>
                <w:szCs w:val="18"/>
              </w:rPr>
              <w:t>Epoch sayısı</w:t>
            </w:r>
          </w:p>
        </w:tc>
        <w:tc>
          <w:tcPr>
            <w:tcW w:w="5526"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rPr>
                <w:rFonts w:eastAsia="Times New Roman" w:cs="Times New Roman"/>
                <w:b w:val="false"/>
                <w:bCs w:val="false"/>
                <w:color w:val="000000"/>
                <w:sz w:val="18"/>
                <w:szCs w:val="18"/>
              </w:rPr>
              <w:t>3</w:t>
            </w:r>
          </w:p>
        </w:tc>
      </w:tr>
      <w:tr>
        <w:trPr/>
        <w:tc>
          <w:tcPr>
            <w:tcW w:w="3500" w:type="dxa"/>
            <w:tcBorders>
              <w:top w:val="single" w:sz="4" w:space="0" w:color="AAAAAA"/>
              <w:start w:val="single" w:sz="4" w:space="0" w:color="AAAAAA"/>
              <w:bottom w:val="single" w:sz="4" w:space="0" w:color="AAAAAA"/>
              <w:end w:val="single" w:sz="4" w:space="0" w:color="AAAAAA"/>
            </w:tcBorders>
            <w:vAlign w:val="center"/>
          </w:tcPr>
          <w:p>
            <w:pPr>
              <w:pStyle w:val="Normal"/>
              <w:jc w:val="center"/>
              <w:rPr/>
            </w:pPr>
            <w:r>
              <w:rPr>
                <w:rFonts w:eastAsia="Times New Roman" w:cs="Times New Roman"/>
                <w:b w:val="false"/>
                <w:bCs w:val="false"/>
                <w:color w:val="000000"/>
                <w:sz w:val="18"/>
                <w:szCs w:val="18"/>
              </w:rPr>
              <w:t>Batch size (cihaz)</w:t>
            </w:r>
          </w:p>
        </w:tc>
        <w:tc>
          <w:tcPr>
            <w:tcW w:w="5526" w:type="dxa"/>
            <w:tcBorders>
              <w:top w:val="single" w:sz="4" w:space="0" w:color="AAAAAA"/>
              <w:start w:val="single" w:sz="4" w:space="0" w:color="AAAAAA"/>
              <w:bottom w:val="single" w:sz="4" w:space="0" w:color="AAAAAA"/>
              <w:end w:val="single" w:sz="4" w:space="0" w:color="AAAAAA"/>
            </w:tcBorders>
            <w:vAlign w:val="center"/>
          </w:tcPr>
          <w:p>
            <w:pPr>
              <w:pStyle w:val="Normal"/>
              <w:jc w:val="center"/>
              <w:rPr/>
            </w:pPr>
            <w:r>
              <w:rPr>
                <w:rFonts w:eastAsia="Times New Roman" w:cs="Times New Roman"/>
                <w:b w:val="false"/>
                <w:bCs w:val="false"/>
                <w:color w:val="000000"/>
                <w:sz w:val="18"/>
                <w:szCs w:val="18"/>
              </w:rPr>
              <w:t>4</w:t>
            </w:r>
          </w:p>
        </w:tc>
      </w:tr>
      <w:tr>
        <w:trPr/>
        <w:tc>
          <w:tcPr>
            <w:tcW w:w="3500"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rPr>
                <w:rFonts w:eastAsia="Times New Roman" w:cs="Times New Roman"/>
                <w:b w:val="false"/>
                <w:bCs w:val="false"/>
                <w:color w:val="000000"/>
                <w:sz w:val="18"/>
                <w:szCs w:val="18"/>
              </w:rPr>
              <w:t>Gradient accumulation</w:t>
            </w:r>
          </w:p>
        </w:tc>
        <w:tc>
          <w:tcPr>
            <w:tcW w:w="5526"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rPr>
                <w:rFonts w:eastAsia="Times New Roman" w:cs="Times New Roman"/>
                <w:b w:val="false"/>
                <w:bCs w:val="false"/>
                <w:color w:val="000000"/>
                <w:sz w:val="18"/>
                <w:szCs w:val="18"/>
              </w:rPr>
              <w:t>4  →  efektif batch = 16</w:t>
            </w:r>
          </w:p>
        </w:tc>
      </w:tr>
      <w:tr>
        <w:trPr/>
        <w:tc>
          <w:tcPr>
            <w:tcW w:w="3500" w:type="dxa"/>
            <w:tcBorders>
              <w:top w:val="single" w:sz="4" w:space="0" w:color="AAAAAA"/>
              <w:start w:val="single" w:sz="4" w:space="0" w:color="AAAAAA"/>
              <w:bottom w:val="single" w:sz="4" w:space="0" w:color="AAAAAA"/>
              <w:end w:val="single" w:sz="4" w:space="0" w:color="AAAAAA"/>
            </w:tcBorders>
            <w:vAlign w:val="center"/>
          </w:tcPr>
          <w:p>
            <w:pPr>
              <w:pStyle w:val="Normal"/>
              <w:jc w:val="center"/>
              <w:rPr/>
            </w:pPr>
            <w:r>
              <w:rPr>
                <w:rFonts w:eastAsia="Times New Roman" w:cs="Times New Roman"/>
                <w:b w:val="false"/>
                <w:bCs w:val="false"/>
                <w:color w:val="000000"/>
                <w:sz w:val="18"/>
                <w:szCs w:val="18"/>
              </w:rPr>
              <w:t>Learning rate</w:t>
            </w:r>
          </w:p>
        </w:tc>
        <w:tc>
          <w:tcPr>
            <w:tcW w:w="5526" w:type="dxa"/>
            <w:tcBorders>
              <w:top w:val="single" w:sz="4" w:space="0" w:color="AAAAAA"/>
              <w:start w:val="single" w:sz="4" w:space="0" w:color="AAAAAA"/>
              <w:bottom w:val="single" w:sz="4" w:space="0" w:color="AAAAAA"/>
              <w:end w:val="single" w:sz="4" w:space="0" w:color="AAAAAA"/>
            </w:tcBorders>
            <w:vAlign w:val="center"/>
          </w:tcPr>
          <w:p>
            <w:pPr>
              <w:pStyle w:val="Normal"/>
              <w:jc w:val="center"/>
              <w:rPr/>
            </w:pPr>
            <w:r>
              <w:rPr>
                <w:rFonts w:eastAsia="Times New Roman" w:cs="Times New Roman"/>
                <w:b w:val="false"/>
                <w:bCs w:val="false"/>
                <w:color w:val="000000"/>
                <w:sz w:val="18"/>
                <w:szCs w:val="18"/>
              </w:rPr>
              <w:t>2×10⁻⁴ (cosine decay)</w:t>
            </w:r>
          </w:p>
        </w:tc>
      </w:tr>
      <w:tr>
        <w:trPr/>
        <w:tc>
          <w:tcPr>
            <w:tcW w:w="3500"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rPr>
                <w:rFonts w:eastAsia="Times New Roman" w:cs="Times New Roman"/>
                <w:b w:val="false"/>
                <w:bCs w:val="false"/>
                <w:color w:val="000000"/>
                <w:sz w:val="18"/>
                <w:szCs w:val="18"/>
              </w:rPr>
              <w:t>Warmup oranı</w:t>
            </w:r>
          </w:p>
        </w:tc>
        <w:tc>
          <w:tcPr>
            <w:tcW w:w="5526"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rPr>
                <w:rFonts w:eastAsia="Times New Roman" w:cs="Times New Roman"/>
                <w:b w:val="false"/>
                <w:bCs w:val="false"/>
                <w:color w:val="000000"/>
                <w:sz w:val="18"/>
                <w:szCs w:val="18"/>
              </w:rPr>
              <w:t>%5</w:t>
            </w:r>
          </w:p>
        </w:tc>
      </w:tr>
      <w:tr>
        <w:trPr/>
        <w:tc>
          <w:tcPr>
            <w:tcW w:w="3500" w:type="dxa"/>
            <w:tcBorders>
              <w:top w:val="single" w:sz="4" w:space="0" w:color="AAAAAA"/>
              <w:start w:val="single" w:sz="4" w:space="0" w:color="AAAAAA"/>
              <w:bottom w:val="single" w:sz="4" w:space="0" w:color="AAAAAA"/>
              <w:end w:val="single" w:sz="4" w:space="0" w:color="AAAAAA"/>
            </w:tcBorders>
            <w:vAlign w:val="center"/>
          </w:tcPr>
          <w:p>
            <w:pPr>
              <w:pStyle w:val="Normal"/>
              <w:jc w:val="center"/>
              <w:rPr/>
            </w:pPr>
            <w:r>
              <w:rPr>
                <w:rFonts w:eastAsia="Times New Roman" w:cs="Times New Roman"/>
                <w:b w:val="false"/>
                <w:bCs w:val="false"/>
                <w:color w:val="000000"/>
                <w:sz w:val="18"/>
                <w:szCs w:val="18"/>
              </w:rPr>
              <w:t>Precision</w:t>
            </w:r>
          </w:p>
        </w:tc>
        <w:tc>
          <w:tcPr>
            <w:tcW w:w="5526" w:type="dxa"/>
            <w:tcBorders>
              <w:top w:val="single" w:sz="4" w:space="0" w:color="AAAAAA"/>
              <w:start w:val="single" w:sz="4" w:space="0" w:color="AAAAAA"/>
              <w:bottom w:val="single" w:sz="4" w:space="0" w:color="AAAAAA"/>
              <w:end w:val="single" w:sz="4" w:space="0" w:color="AAAAAA"/>
            </w:tcBorders>
            <w:vAlign w:val="center"/>
          </w:tcPr>
          <w:p>
            <w:pPr>
              <w:pStyle w:val="Normal"/>
              <w:jc w:val="center"/>
              <w:rPr/>
            </w:pPr>
            <w:r>
              <w:rPr>
                <w:rFonts w:eastAsia="Times New Roman" w:cs="Times New Roman"/>
                <w:b w:val="false"/>
                <w:bCs w:val="false"/>
                <w:color w:val="000000"/>
                <w:sz w:val="18"/>
                <w:szCs w:val="18"/>
              </w:rPr>
              <w:t>fp16</w:t>
            </w:r>
          </w:p>
        </w:tc>
      </w:tr>
      <w:tr>
        <w:trPr/>
        <w:tc>
          <w:tcPr>
            <w:tcW w:w="3500"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rPr>
                <w:rFonts w:eastAsia="Times New Roman" w:cs="Times New Roman"/>
                <w:b w:val="false"/>
                <w:bCs w:val="false"/>
                <w:color w:val="000000"/>
                <w:sz w:val="18"/>
                <w:szCs w:val="18"/>
              </w:rPr>
              <w:t>Max token uzunluğu</w:t>
            </w:r>
          </w:p>
        </w:tc>
        <w:tc>
          <w:tcPr>
            <w:tcW w:w="5526"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rPr>
                <w:rFonts w:eastAsia="Times New Roman" w:cs="Times New Roman"/>
                <w:b w:val="false"/>
                <w:bCs w:val="false"/>
                <w:color w:val="000000"/>
                <w:sz w:val="18"/>
                <w:szCs w:val="18"/>
              </w:rPr>
              <w:t>512</w:t>
            </w:r>
          </w:p>
        </w:tc>
      </w:tr>
      <w:tr>
        <w:trPr/>
        <w:tc>
          <w:tcPr>
            <w:tcW w:w="3500" w:type="dxa"/>
            <w:tcBorders>
              <w:top w:val="single" w:sz="4" w:space="0" w:color="AAAAAA"/>
              <w:start w:val="single" w:sz="4" w:space="0" w:color="AAAAAA"/>
              <w:bottom w:val="single" w:sz="4" w:space="0" w:color="AAAAAA"/>
              <w:end w:val="single" w:sz="4" w:space="0" w:color="AAAAAA"/>
            </w:tcBorders>
            <w:vAlign w:val="center"/>
          </w:tcPr>
          <w:p>
            <w:pPr>
              <w:pStyle w:val="Normal"/>
              <w:jc w:val="center"/>
              <w:rPr/>
            </w:pPr>
            <w:r>
              <w:rPr>
                <w:rFonts w:eastAsia="Times New Roman" w:cs="Times New Roman"/>
                <w:b w:val="false"/>
                <w:bCs w:val="false"/>
                <w:color w:val="000000"/>
                <w:sz w:val="18"/>
                <w:szCs w:val="18"/>
              </w:rPr>
              <w:t>Early stopping kriteri</w:t>
            </w:r>
          </w:p>
        </w:tc>
        <w:tc>
          <w:tcPr>
            <w:tcW w:w="5526" w:type="dxa"/>
            <w:tcBorders>
              <w:top w:val="single" w:sz="4" w:space="0" w:color="AAAAAA"/>
              <w:start w:val="single" w:sz="4" w:space="0" w:color="AAAAAA"/>
              <w:bottom w:val="single" w:sz="4" w:space="0" w:color="AAAAAA"/>
              <w:end w:val="single" w:sz="4" w:space="0" w:color="AAAAAA"/>
            </w:tcBorders>
            <w:vAlign w:val="center"/>
          </w:tcPr>
          <w:p>
            <w:pPr>
              <w:pStyle w:val="Normal"/>
              <w:jc w:val="center"/>
              <w:rPr/>
            </w:pPr>
            <w:r>
              <w:rPr>
                <w:rFonts w:eastAsia="Times New Roman" w:cs="Times New Roman"/>
                <w:b w:val="false"/>
                <w:bCs w:val="false"/>
                <w:color w:val="000000"/>
                <w:sz w:val="18"/>
                <w:szCs w:val="18"/>
              </w:rPr>
              <w:t>eval_loss (her epoch)</w:t>
            </w:r>
          </w:p>
        </w:tc>
      </w:tr>
      <w:tr>
        <w:trPr/>
        <w:tc>
          <w:tcPr>
            <w:tcW w:w="3500"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rPr>
                <w:rFonts w:eastAsia="Times New Roman" w:cs="Times New Roman"/>
                <w:b w:val="false"/>
                <w:bCs w:val="false"/>
                <w:color w:val="000000"/>
                <w:sz w:val="18"/>
                <w:szCs w:val="18"/>
              </w:rPr>
              <w:t>Tahmini eğitim süresi</w:t>
            </w:r>
          </w:p>
        </w:tc>
        <w:tc>
          <w:tcPr>
            <w:tcW w:w="5526"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rPr>
                <w:rFonts w:eastAsia="Times New Roman" w:cs="Times New Roman"/>
                <w:b w:val="false"/>
                <w:bCs w:val="false"/>
                <w:color w:val="000000"/>
                <w:sz w:val="18"/>
                <w:szCs w:val="18"/>
              </w:rPr>
              <w:t>10–20 dakika (T4 GPU)</w:t>
            </w:r>
          </w:p>
        </w:tc>
      </w:tr>
    </w:tbl>
    <w:p>
      <w:pPr>
        <w:pStyle w:val="Normal"/>
        <w:rPr/>
      </w:pPr>
      <w:r>
        <w:rPr/>
      </w:r>
    </w:p>
    <w:p>
      <w:pPr>
        <w:pStyle w:val="Normal"/>
        <w:pBdr>
          <w:bottom w:val="single" w:sz="4" w:space="1" w:color="1F3864"/>
        </w:pBdr>
        <w:spacing w:before="200" w:after="100"/>
        <w:rPr/>
      </w:pPr>
      <w:r>
        <w:rPr>
          <w:rFonts w:eastAsia="Times New Roman" w:cs="Times New Roman"/>
          <w:b/>
          <w:bCs/>
          <w:color w:val="1F3864"/>
          <w:sz w:val="20"/>
          <w:szCs w:val="20"/>
        </w:rPr>
        <w:t>3.6 RAG Bileşeni</w:t>
      </w:r>
    </w:p>
    <w:p>
      <w:pPr>
        <w:pStyle w:val="Normal"/>
        <w:spacing w:lineRule="auto" w:line="276" w:before="60" w:after="60"/>
        <w:ind w:firstLine="720"/>
        <w:jc w:val="both"/>
        <w:rPr/>
      </w:pPr>
      <w:r>
        <w:rPr>
          <w:rFonts w:eastAsia="Times New Roman" w:cs="Times New Roman"/>
          <w:sz w:val="20"/>
          <w:szCs w:val="20"/>
        </w:rPr>
        <w:t>RAG bileşeninde belgeler 300 karakterlik örtüşen parçalara (overlap=60 karakter) bölünmüştür. Parçalar paraphrase-multilingual-MiniLM-L12-v2 modeli ile 384 boyutlu vektörlere dönüştürülmüş ve FAISS IndexFlatIP yapısına yüklenmiştir. Sorgu sırasında en yakın k=3 parça cosine benzerliğiyle bulunarak modele bağlam olarak sunulmaktadır.</w:t>
      </w:r>
    </w:p>
    <w:p>
      <w:pPr>
        <w:pStyle w:val="Normal"/>
        <w:rPr/>
      </w:pPr>
      <w:r>
        <w:rPr/>
      </w:r>
    </w:p>
    <w:p>
      <w:pPr>
        <w:pStyle w:val="Normal"/>
        <w:spacing w:before="0" w:after="160"/>
        <w:jc w:val="center"/>
        <w:rPr/>
      </w:pPr>
      <w:r>
        <w:rPr>
          <w:rFonts w:eastAsia="Times New Roman" w:cs="Times New Roman"/>
          <w:b/>
          <w:bCs/>
          <w:color w:val="1F3864"/>
          <w:sz w:val="24"/>
          <w:szCs w:val="24"/>
        </w:rPr>
        <w:t>4. BULGULAR</w:t>
      </w:r>
    </w:p>
    <w:p>
      <w:pPr>
        <w:pStyle w:val="Normal"/>
        <w:pBdr>
          <w:bottom w:val="single" w:sz="4" w:space="1" w:color="1F3864"/>
        </w:pBdr>
        <w:spacing w:before="200" w:after="100"/>
        <w:rPr/>
      </w:pPr>
      <w:r>
        <w:rPr>
          <w:rFonts w:eastAsia="Times New Roman" w:cs="Times New Roman"/>
          <w:b/>
          <w:bCs/>
          <w:color w:val="1F3864"/>
          <w:sz w:val="20"/>
          <w:szCs w:val="20"/>
        </w:rPr>
        <w:t>4.1 Eğitim Öncesi Pipeline Analiz Görseli</w:t>
      </w:r>
    </w:p>
    <w:p>
      <w:pPr>
        <w:pStyle w:val="Normal"/>
        <w:spacing w:lineRule="auto" w:line="276" w:before="60" w:after="60"/>
        <w:jc w:val="both"/>
        <w:rPr/>
      </w:pPr>
      <w:r>
        <w:rPr>
          <w:rFonts w:eastAsia="Times New Roman" w:cs="Times New Roman"/>
          <w:sz w:val="20"/>
          <w:szCs w:val="20"/>
        </w:rPr>
        <w:t>Aşağıdaki görsel, QLoRA eğitimine geçilmeden önceki pipeline aşamasına ait analiz çıktısını göstermektedir. Bu aşamada JSONL ve doküman verisinin RAG bileşeniyle entegrasyonu, chunk dağılımı, retrieval skorları ve ön model karşılaştırmaları incelenmiştir.</w:t>
      </w:r>
    </w:p>
    <w:p>
      <w:pPr>
        <w:pStyle w:val="Normal"/>
        <w:rPr/>
      </w:pPr>
      <w:r>
        <w:rPr/>
      </w:r>
    </w:p>
    <w:p>
      <w:pPr>
        <w:pStyle w:val="Normal"/>
        <w:jc w:val="center"/>
        <w:rPr/>
      </w:pPr>
      <w:r>
        <w:rPr/>
        <w:drawing>
          <wp:inline distT="0" distB="0" distL="0" distR="0">
            <wp:extent cx="5905500" cy="2419350"/>
            <wp:effectExtent l="0" t="0" r="0" b="0"/>
            <wp:docPr id="1" name="Görüntü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örüntü1"/>
                    <pic:cNvPicPr>
                      <a:picLocks noChangeAspect="1" noChangeArrowheads="1"/>
                    </pic:cNvPicPr>
                  </pic:nvPicPr>
                  <pic:blipFill>
                    <a:blip r:embed="rId3"/>
                    <a:stretch>
                      <a:fillRect/>
                    </a:stretch>
                  </pic:blipFill>
                  <pic:spPr bwMode="auto">
                    <a:xfrm>
                      <a:off x="0" y="0"/>
                      <a:ext cx="5905500" cy="2419350"/>
                    </a:xfrm>
                    <a:prstGeom prst="rect">
                      <a:avLst/>
                    </a:prstGeom>
                    <a:noFill/>
                  </pic:spPr>
                </pic:pic>
              </a:graphicData>
            </a:graphic>
          </wp:inline>
        </w:drawing>
      </w:r>
    </w:p>
    <w:p>
      <w:pPr>
        <w:pStyle w:val="Normal"/>
        <w:spacing w:before="60" w:after="120"/>
        <w:jc w:val="center"/>
        <w:rPr/>
      </w:pPr>
      <w:r>
        <w:rPr>
          <w:rFonts w:eastAsia="Times New Roman" w:cs="Times New Roman"/>
          <w:i/>
          <w:iCs/>
          <w:color w:val="444444"/>
          <w:sz w:val="18"/>
          <w:szCs w:val="18"/>
        </w:rPr>
        <w:t>Şekil 1. TARS Pipeline Analiz Görseli — RAG Retrieval ve Ön Model Metrikleri</w:t>
      </w:r>
    </w:p>
    <w:p>
      <w:pPr>
        <w:pStyle w:val="Normal"/>
        <w:rPr/>
      </w:pPr>
      <w:r>
        <w:rPr/>
      </w:r>
    </w:p>
    <w:p>
      <w:pPr>
        <w:pStyle w:val="Normal"/>
        <w:pBdr>
          <w:bottom w:val="single" w:sz="4" w:space="1" w:color="1F3864"/>
        </w:pBdr>
        <w:spacing w:before="200" w:after="100"/>
        <w:rPr/>
      </w:pPr>
      <w:r>
        <w:rPr>
          <w:rFonts w:eastAsia="Times New Roman" w:cs="Times New Roman"/>
          <w:b/>
          <w:bCs/>
          <w:color w:val="1F3864"/>
          <w:sz w:val="20"/>
          <w:szCs w:val="20"/>
        </w:rPr>
        <w:t>4.2 QLoRA Model — Eğitilebilir Parametre Analizi</w:t>
      </w:r>
    </w:p>
    <w:p>
      <w:pPr>
        <w:pStyle w:val="Normal"/>
        <w:spacing w:lineRule="auto" w:line="276" w:before="60" w:after="60"/>
        <w:ind w:firstLine="720"/>
        <w:jc w:val="both"/>
        <w:rPr/>
      </w:pPr>
      <w:r>
        <w:rPr>
          <w:rFonts w:eastAsia="Times New Roman" w:cs="Times New Roman"/>
          <w:sz w:val="20"/>
          <w:szCs w:val="20"/>
        </w:rPr>
        <w:t>4-bit kuantizasyon ve LoRA adaptörü kombinasyonu sayesinde toplam ~494 milyon parametreli modelin yalnızca küçük bir kısmı eğitilmiştir. Bu yaklaşım hem VRAM kullanımını hem de eğitim süresini dramatik biçimde azaltmıştır.</w:t>
      </w:r>
    </w:p>
    <w:p>
      <w:pPr>
        <w:pStyle w:val="Normal"/>
        <w:rPr/>
      </w:pPr>
      <w:r>
        <w:rPr/>
      </w:r>
    </w:p>
    <w:p>
      <w:pPr>
        <w:pStyle w:val="Normal"/>
        <w:spacing w:before="60" w:after="80"/>
        <w:jc w:val="center"/>
        <w:rPr/>
      </w:pPr>
      <w:r>
        <w:rPr>
          <w:rFonts w:eastAsia="Times New Roman" w:cs="Times New Roman"/>
          <w:b/>
          <w:bCs/>
          <w:sz w:val="18"/>
          <w:szCs w:val="18"/>
        </w:rPr>
        <w:t>Tablo 3. QLoRA Parametre Verimliliği</w:t>
      </w:r>
    </w:p>
    <w:tbl>
      <w:tblPr>
        <w:tblW w:w="9026" w:type="dxa"/>
        <w:jc w:val="start"/>
        <w:tblInd w:w="0" w:type="dxa"/>
        <w:tblLayout w:type="fixed"/>
        <w:tblCellMar>
          <w:top w:w="80" w:type="dxa"/>
          <w:start w:w="120" w:type="dxa"/>
          <w:bottom w:w="80" w:type="dxa"/>
          <w:end w:w="120" w:type="dxa"/>
        </w:tblCellMar>
      </w:tblPr>
      <w:tblGrid>
        <w:gridCol w:w="3000"/>
        <w:gridCol w:w="2000"/>
        <w:gridCol w:w="1999"/>
        <w:gridCol w:w="2027"/>
      </w:tblGrid>
      <w:tr>
        <w:trPr/>
        <w:tc>
          <w:tcPr>
            <w:tcW w:w="3000" w:type="dxa"/>
            <w:tcBorders>
              <w:top w:val="single" w:sz="4" w:space="0" w:color="AAAAAA"/>
              <w:start w:val="single" w:sz="4" w:space="0" w:color="AAAAAA"/>
              <w:bottom w:val="single" w:sz="4" w:space="0" w:color="AAAAAA"/>
              <w:end w:val="single" w:sz="4" w:space="0" w:color="AAAAAA"/>
            </w:tcBorders>
            <w:shd w:fill="1F3864" w:val="clear"/>
            <w:vAlign w:val="center"/>
          </w:tcPr>
          <w:p>
            <w:pPr>
              <w:pStyle w:val="Normal"/>
              <w:jc w:val="center"/>
              <w:rPr/>
            </w:pPr>
            <w:r>
              <w:rPr>
                <w:rFonts w:eastAsia="Times New Roman" w:cs="Times New Roman"/>
                <w:b/>
                <w:bCs/>
                <w:color w:val="FFFFFF"/>
                <w:sz w:val="18"/>
                <w:szCs w:val="18"/>
              </w:rPr>
              <w:t>Metrik</w:t>
            </w:r>
          </w:p>
        </w:tc>
        <w:tc>
          <w:tcPr>
            <w:tcW w:w="2000" w:type="dxa"/>
            <w:tcBorders>
              <w:top w:val="single" w:sz="4" w:space="0" w:color="AAAAAA"/>
              <w:start w:val="single" w:sz="4" w:space="0" w:color="AAAAAA"/>
              <w:bottom w:val="single" w:sz="4" w:space="0" w:color="AAAAAA"/>
              <w:end w:val="single" w:sz="4" w:space="0" w:color="AAAAAA"/>
            </w:tcBorders>
            <w:shd w:fill="1F3864" w:val="clear"/>
            <w:vAlign w:val="center"/>
          </w:tcPr>
          <w:p>
            <w:pPr>
              <w:pStyle w:val="Normal"/>
              <w:jc w:val="center"/>
              <w:rPr/>
            </w:pPr>
            <w:r>
              <w:rPr>
                <w:rFonts w:eastAsia="Times New Roman" w:cs="Times New Roman"/>
                <w:b/>
                <w:bCs/>
                <w:color w:val="FFFFFF"/>
                <w:sz w:val="18"/>
                <w:szCs w:val="18"/>
              </w:rPr>
              <w:t>Değer</w:t>
            </w:r>
          </w:p>
        </w:tc>
        <w:tc>
          <w:tcPr>
            <w:tcW w:w="1999" w:type="dxa"/>
            <w:tcBorders>
              <w:top w:val="single" w:sz="4" w:space="0" w:color="AAAAAA"/>
              <w:start w:val="single" w:sz="4" w:space="0" w:color="AAAAAA"/>
              <w:bottom w:val="single" w:sz="4" w:space="0" w:color="AAAAAA"/>
              <w:end w:val="single" w:sz="4" w:space="0" w:color="AAAAAA"/>
            </w:tcBorders>
            <w:shd w:fill="1F3864" w:val="clear"/>
            <w:vAlign w:val="center"/>
          </w:tcPr>
          <w:p>
            <w:pPr>
              <w:pStyle w:val="Normal"/>
              <w:jc w:val="center"/>
              <w:rPr/>
            </w:pPr>
            <w:r>
              <w:rPr>
                <w:rFonts w:eastAsia="Times New Roman" w:cs="Times New Roman"/>
                <w:b/>
                <w:bCs/>
                <w:color w:val="FFFFFF"/>
                <w:sz w:val="18"/>
                <w:szCs w:val="18"/>
              </w:rPr>
              <w:t>Full FT</w:t>
            </w:r>
          </w:p>
        </w:tc>
        <w:tc>
          <w:tcPr>
            <w:tcW w:w="2027" w:type="dxa"/>
            <w:tcBorders>
              <w:top w:val="single" w:sz="4" w:space="0" w:color="AAAAAA"/>
              <w:start w:val="single" w:sz="4" w:space="0" w:color="AAAAAA"/>
              <w:bottom w:val="single" w:sz="4" w:space="0" w:color="AAAAAA"/>
              <w:end w:val="single" w:sz="4" w:space="0" w:color="AAAAAA"/>
            </w:tcBorders>
            <w:shd w:fill="1F3864" w:val="clear"/>
            <w:vAlign w:val="center"/>
          </w:tcPr>
          <w:p>
            <w:pPr>
              <w:pStyle w:val="Normal"/>
              <w:jc w:val="center"/>
              <w:rPr/>
            </w:pPr>
            <w:r>
              <w:rPr>
                <w:rFonts w:eastAsia="Times New Roman" w:cs="Times New Roman"/>
                <w:b/>
                <w:bCs/>
                <w:color w:val="FFFFFF"/>
                <w:sz w:val="18"/>
                <w:szCs w:val="18"/>
              </w:rPr>
              <w:t>Tasarruf</w:t>
            </w:r>
          </w:p>
        </w:tc>
      </w:tr>
      <w:tr>
        <w:trPr/>
        <w:tc>
          <w:tcPr>
            <w:tcW w:w="3000"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rPr>
                <w:rFonts w:eastAsia="Times New Roman" w:cs="Times New Roman"/>
                <w:b w:val="false"/>
                <w:bCs w:val="false"/>
                <w:color w:val="000000"/>
                <w:sz w:val="18"/>
                <w:szCs w:val="18"/>
              </w:rPr>
              <w:t>Toplam parametre</w:t>
            </w:r>
          </w:p>
        </w:tc>
        <w:tc>
          <w:tcPr>
            <w:tcW w:w="2000"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rPr>
                <w:rFonts w:eastAsia="Times New Roman" w:cs="Times New Roman"/>
                <w:b w:val="false"/>
                <w:bCs w:val="false"/>
                <w:color w:val="000000"/>
                <w:sz w:val="18"/>
                <w:szCs w:val="18"/>
              </w:rPr>
              <w:t>~494 M</w:t>
            </w:r>
          </w:p>
        </w:tc>
        <w:tc>
          <w:tcPr>
            <w:tcW w:w="1999"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rPr>
                <w:rFonts w:eastAsia="Times New Roman" w:cs="Times New Roman"/>
                <w:b w:val="false"/>
                <w:bCs w:val="false"/>
                <w:color w:val="000000"/>
                <w:sz w:val="18"/>
                <w:szCs w:val="18"/>
              </w:rPr>
              <w:t>~494 M</w:t>
            </w:r>
          </w:p>
        </w:tc>
        <w:tc>
          <w:tcPr>
            <w:tcW w:w="2027"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rPr>
                <w:rFonts w:eastAsia="Times New Roman" w:cs="Times New Roman"/>
                <w:b w:val="false"/>
                <w:bCs w:val="false"/>
                <w:color w:val="000000"/>
                <w:sz w:val="18"/>
                <w:szCs w:val="18"/>
              </w:rPr>
              <w:t>—</w:t>
            </w:r>
          </w:p>
        </w:tc>
      </w:tr>
      <w:tr>
        <w:trPr/>
        <w:tc>
          <w:tcPr>
            <w:tcW w:w="3000" w:type="dxa"/>
            <w:tcBorders>
              <w:top w:val="single" w:sz="4" w:space="0" w:color="AAAAAA"/>
              <w:start w:val="single" w:sz="4" w:space="0" w:color="AAAAAA"/>
              <w:bottom w:val="single" w:sz="4" w:space="0" w:color="AAAAAA"/>
              <w:end w:val="single" w:sz="4" w:space="0" w:color="AAAAAA"/>
            </w:tcBorders>
            <w:vAlign w:val="center"/>
          </w:tcPr>
          <w:p>
            <w:pPr>
              <w:pStyle w:val="Normal"/>
              <w:jc w:val="center"/>
              <w:rPr/>
            </w:pPr>
            <w:r>
              <w:rPr>
                <w:rFonts w:eastAsia="Times New Roman" w:cs="Times New Roman"/>
                <w:b w:val="false"/>
                <w:bCs w:val="false"/>
                <w:color w:val="000000"/>
                <w:sz w:val="18"/>
                <w:szCs w:val="18"/>
              </w:rPr>
              <w:t>Eğitilebilir (LoRA)</w:t>
            </w:r>
          </w:p>
        </w:tc>
        <w:tc>
          <w:tcPr>
            <w:tcW w:w="2000" w:type="dxa"/>
            <w:tcBorders>
              <w:top w:val="single" w:sz="4" w:space="0" w:color="AAAAAA"/>
              <w:start w:val="single" w:sz="4" w:space="0" w:color="AAAAAA"/>
              <w:bottom w:val="single" w:sz="4" w:space="0" w:color="AAAAAA"/>
              <w:end w:val="single" w:sz="4" w:space="0" w:color="AAAAAA"/>
            </w:tcBorders>
            <w:vAlign w:val="center"/>
          </w:tcPr>
          <w:p>
            <w:pPr>
              <w:pStyle w:val="Normal"/>
              <w:jc w:val="center"/>
              <w:rPr/>
            </w:pPr>
            <w:r>
              <w:rPr>
                <w:rFonts w:eastAsia="Times New Roman" w:cs="Times New Roman"/>
                <w:b w:val="false"/>
                <w:bCs w:val="false"/>
                <w:color w:val="000000"/>
                <w:sz w:val="18"/>
                <w:szCs w:val="18"/>
              </w:rPr>
              <w:t>~20–40 M</w:t>
            </w:r>
          </w:p>
        </w:tc>
        <w:tc>
          <w:tcPr>
            <w:tcW w:w="1999" w:type="dxa"/>
            <w:tcBorders>
              <w:top w:val="single" w:sz="4" w:space="0" w:color="AAAAAA"/>
              <w:start w:val="single" w:sz="4" w:space="0" w:color="AAAAAA"/>
              <w:bottom w:val="single" w:sz="4" w:space="0" w:color="AAAAAA"/>
              <w:end w:val="single" w:sz="4" w:space="0" w:color="AAAAAA"/>
            </w:tcBorders>
            <w:vAlign w:val="center"/>
          </w:tcPr>
          <w:p>
            <w:pPr>
              <w:pStyle w:val="Normal"/>
              <w:jc w:val="center"/>
              <w:rPr/>
            </w:pPr>
            <w:r>
              <w:rPr>
                <w:rFonts w:eastAsia="Times New Roman" w:cs="Times New Roman"/>
                <w:b w:val="false"/>
                <w:bCs w:val="false"/>
                <w:color w:val="000000"/>
                <w:sz w:val="18"/>
                <w:szCs w:val="18"/>
              </w:rPr>
              <w:t>~494 M</w:t>
            </w:r>
          </w:p>
        </w:tc>
        <w:tc>
          <w:tcPr>
            <w:tcW w:w="2027" w:type="dxa"/>
            <w:tcBorders>
              <w:top w:val="single" w:sz="4" w:space="0" w:color="AAAAAA"/>
              <w:start w:val="single" w:sz="4" w:space="0" w:color="AAAAAA"/>
              <w:bottom w:val="single" w:sz="4" w:space="0" w:color="AAAAAA"/>
              <w:end w:val="single" w:sz="4" w:space="0" w:color="AAAAAA"/>
            </w:tcBorders>
            <w:vAlign w:val="center"/>
          </w:tcPr>
          <w:p>
            <w:pPr>
              <w:pStyle w:val="Normal"/>
              <w:jc w:val="center"/>
              <w:rPr/>
            </w:pPr>
            <w:r>
              <w:rPr>
                <w:rFonts w:eastAsia="Times New Roman" w:cs="Times New Roman"/>
                <w:b w:val="false"/>
                <w:bCs w:val="false"/>
                <w:color w:val="000000"/>
                <w:sz w:val="18"/>
                <w:szCs w:val="18"/>
              </w:rPr>
              <w:t>~%92–96</w:t>
            </w:r>
          </w:p>
        </w:tc>
      </w:tr>
      <w:tr>
        <w:trPr/>
        <w:tc>
          <w:tcPr>
            <w:tcW w:w="3000"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rPr>
                <w:rFonts w:eastAsia="Times New Roman" w:cs="Times New Roman"/>
                <w:b w:val="false"/>
                <w:bCs w:val="false"/>
                <w:color w:val="000000"/>
                <w:sz w:val="18"/>
                <w:szCs w:val="18"/>
              </w:rPr>
              <w:t>Model boyutu (4-bit)</w:t>
            </w:r>
          </w:p>
        </w:tc>
        <w:tc>
          <w:tcPr>
            <w:tcW w:w="2000"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rPr>
                <w:rFonts w:eastAsia="Times New Roman" w:cs="Times New Roman"/>
                <w:b w:val="false"/>
                <w:bCs w:val="false"/>
                <w:color w:val="000000"/>
                <w:sz w:val="18"/>
                <w:szCs w:val="18"/>
              </w:rPr>
              <w:t>~500 MB</w:t>
            </w:r>
          </w:p>
        </w:tc>
        <w:tc>
          <w:tcPr>
            <w:tcW w:w="1999"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rPr>
                <w:rFonts w:eastAsia="Times New Roman" w:cs="Times New Roman"/>
                <w:b w:val="false"/>
                <w:bCs w:val="false"/>
                <w:color w:val="000000"/>
                <w:sz w:val="18"/>
                <w:szCs w:val="18"/>
              </w:rPr>
              <w:t>~1 GB (fp16)</w:t>
            </w:r>
          </w:p>
        </w:tc>
        <w:tc>
          <w:tcPr>
            <w:tcW w:w="2027"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rPr>
                <w:rFonts w:eastAsia="Times New Roman" w:cs="Times New Roman"/>
                <w:b w:val="false"/>
                <w:bCs w:val="false"/>
                <w:color w:val="000000"/>
                <w:sz w:val="18"/>
                <w:szCs w:val="18"/>
              </w:rPr>
              <w:t>~%50</w:t>
            </w:r>
          </w:p>
        </w:tc>
      </w:tr>
      <w:tr>
        <w:trPr/>
        <w:tc>
          <w:tcPr>
            <w:tcW w:w="3000" w:type="dxa"/>
            <w:tcBorders>
              <w:top w:val="single" w:sz="4" w:space="0" w:color="AAAAAA"/>
              <w:start w:val="single" w:sz="4" w:space="0" w:color="AAAAAA"/>
              <w:bottom w:val="single" w:sz="4" w:space="0" w:color="AAAAAA"/>
              <w:end w:val="single" w:sz="4" w:space="0" w:color="AAAAAA"/>
            </w:tcBorders>
            <w:vAlign w:val="center"/>
          </w:tcPr>
          <w:p>
            <w:pPr>
              <w:pStyle w:val="Normal"/>
              <w:jc w:val="center"/>
              <w:rPr/>
            </w:pPr>
            <w:r>
              <w:rPr>
                <w:rFonts w:eastAsia="Times New Roman" w:cs="Times New Roman"/>
                <w:b w:val="false"/>
                <w:bCs w:val="false"/>
                <w:color w:val="000000"/>
                <w:sz w:val="18"/>
                <w:szCs w:val="18"/>
              </w:rPr>
              <w:t>Adaptör boyutu</w:t>
            </w:r>
          </w:p>
        </w:tc>
        <w:tc>
          <w:tcPr>
            <w:tcW w:w="2000" w:type="dxa"/>
            <w:tcBorders>
              <w:top w:val="single" w:sz="4" w:space="0" w:color="AAAAAA"/>
              <w:start w:val="single" w:sz="4" w:space="0" w:color="AAAAAA"/>
              <w:bottom w:val="single" w:sz="4" w:space="0" w:color="AAAAAA"/>
              <w:end w:val="single" w:sz="4" w:space="0" w:color="AAAAAA"/>
            </w:tcBorders>
            <w:vAlign w:val="center"/>
          </w:tcPr>
          <w:p>
            <w:pPr>
              <w:pStyle w:val="Normal"/>
              <w:jc w:val="center"/>
              <w:rPr/>
            </w:pPr>
            <w:r>
              <w:rPr>
                <w:rFonts w:eastAsia="Times New Roman" w:cs="Times New Roman"/>
                <w:b w:val="false"/>
                <w:bCs w:val="false"/>
                <w:color w:val="000000"/>
                <w:sz w:val="18"/>
                <w:szCs w:val="18"/>
              </w:rPr>
              <w:t>~10–20 MB</w:t>
            </w:r>
          </w:p>
        </w:tc>
        <w:tc>
          <w:tcPr>
            <w:tcW w:w="1999" w:type="dxa"/>
            <w:tcBorders>
              <w:top w:val="single" w:sz="4" w:space="0" w:color="AAAAAA"/>
              <w:start w:val="single" w:sz="4" w:space="0" w:color="AAAAAA"/>
              <w:bottom w:val="single" w:sz="4" w:space="0" w:color="AAAAAA"/>
              <w:end w:val="single" w:sz="4" w:space="0" w:color="AAAAAA"/>
            </w:tcBorders>
            <w:vAlign w:val="center"/>
          </w:tcPr>
          <w:p>
            <w:pPr>
              <w:pStyle w:val="Normal"/>
              <w:jc w:val="center"/>
              <w:rPr/>
            </w:pPr>
            <w:r>
              <w:rPr>
                <w:rFonts w:eastAsia="Times New Roman" w:cs="Times New Roman"/>
                <w:b w:val="false"/>
                <w:bCs w:val="false"/>
                <w:color w:val="000000"/>
                <w:sz w:val="18"/>
                <w:szCs w:val="18"/>
              </w:rPr>
              <w:t>~1 GB</w:t>
            </w:r>
          </w:p>
        </w:tc>
        <w:tc>
          <w:tcPr>
            <w:tcW w:w="2027" w:type="dxa"/>
            <w:tcBorders>
              <w:top w:val="single" w:sz="4" w:space="0" w:color="AAAAAA"/>
              <w:start w:val="single" w:sz="4" w:space="0" w:color="AAAAAA"/>
              <w:bottom w:val="single" w:sz="4" w:space="0" w:color="AAAAAA"/>
              <w:end w:val="single" w:sz="4" w:space="0" w:color="AAAAAA"/>
            </w:tcBorders>
            <w:vAlign w:val="center"/>
          </w:tcPr>
          <w:p>
            <w:pPr>
              <w:pStyle w:val="Normal"/>
              <w:jc w:val="center"/>
              <w:rPr/>
            </w:pPr>
            <w:r>
              <w:rPr>
                <w:rFonts w:eastAsia="Times New Roman" w:cs="Times New Roman"/>
                <w:b w:val="false"/>
                <w:bCs w:val="false"/>
                <w:color w:val="000000"/>
                <w:sz w:val="18"/>
                <w:szCs w:val="18"/>
              </w:rPr>
              <w:t>~%98</w:t>
            </w:r>
          </w:p>
        </w:tc>
      </w:tr>
      <w:tr>
        <w:trPr/>
        <w:tc>
          <w:tcPr>
            <w:tcW w:w="3000"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rPr>
                <w:rFonts w:eastAsia="Times New Roman" w:cs="Times New Roman"/>
                <w:b w:val="false"/>
                <w:bCs w:val="false"/>
                <w:color w:val="000000"/>
                <w:sz w:val="18"/>
                <w:szCs w:val="18"/>
              </w:rPr>
              <w:t>T4 VRAM kullanımı</w:t>
            </w:r>
          </w:p>
        </w:tc>
        <w:tc>
          <w:tcPr>
            <w:tcW w:w="2000"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rPr>
                <w:rFonts w:eastAsia="Times New Roman" w:cs="Times New Roman"/>
                <w:b w:val="false"/>
                <w:bCs w:val="false"/>
                <w:color w:val="000000"/>
                <w:sz w:val="18"/>
                <w:szCs w:val="18"/>
              </w:rPr>
              <w:t>~8–10 GB</w:t>
            </w:r>
          </w:p>
        </w:tc>
        <w:tc>
          <w:tcPr>
            <w:tcW w:w="1999"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rPr>
                <w:rFonts w:eastAsia="Times New Roman" w:cs="Times New Roman"/>
                <w:b w:val="false"/>
                <w:bCs w:val="false"/>
                <w:color w:val="000000"/>
                <w:sz w:val="18"/>
                <w:szCs w:val="18"/>
              </w:rPr>
              <w:t>OOM*</w:t>
            </w:r>
          </w:p>
        </w:tc>
        <w:tc>
          <w:tcPr>
            <w:tcW w:w="2027"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rPr>
                <w:rFonts w:eastAsia="Times New Roman" w:cs="Times New Roman"/>
                <w:b w:val="false"/>
                <w:bCs w:val="false"/>
                <w:color w:val="000000"/>
                <w:sz w:val="18"/>
                <w:szCs w:val="18"/>
              </w:rPr>
              <w:t>—</w:t>
            </w:r>
          </w:p>
        </w:tc>
      </w:tr>
    </w:tbl>
    <w:p>
      <w:pPr>
        <w:pStyle w:val="Normal"/>
        <w:spacing w:before="40" w:after="80"/>
        <w:ind w:start="360"/>
        <w:rPr/>
      </w:pPr>
      <w:r>
        <w:rPr>
          <w:rFonts w:eastAsia="Times New Roman" w:cs="Times New Roman"/>
          <w:i/>
          <w:iCs/>
          <w:color w:val="666666"/>
          <w:sz w:val="16"/>
          <w:szCs w:val="16"/>
        </w:rPr>
        <w:t>* OOM: Full fine-tuning T4 GPU'da bellek yetersizliği nedeniyle mümkün değildir.</w:t>
      </w:r>
    </w:p>
    <w:p>
      <w:pPr>
        <w:pStyle w:val="Normal"/>
        <w:pBdr>
          <w:bottom w:val="single" w:sz="4" w:space="1" w:color="1F3864"/>
        </w:pBdr>
        <w:spacing w:before="200" w:after="100"/>
        <w:rPr/>
      </w:pPr>
      <w:r>
        <w:rPr>
          <w:rFonts w:eastAsia="Times New Roman" w:cs="Times New Roman"/>
          <w:b/>
          <w:bCs/>
          <w:color w:val="1F3864"/>
          <w:sz w:val="20"/>
          <w:szCs w:val="20"/>
        </w:rPr>
        <w:t>4.3 Eğitim Kaybı (Loss Eğrisi)</w:t>
      </w:r>
    </w:p>
    <w:p>
      <w:pPr>
        <w:pStyle w:val="Normal"/>
        <w:spacing w:lineRule="auto" w:line="276" w:before="60" w:after="60"/>
        <w:ind w:firstLine="720"/>
        <w:jc w:val="both"/>
        <w:rPr/>
      </w:pPr>
      <w:r>
        <w:rPr>
          <w:rFonts w:eastAsia="Times New Roman" w:cs="Times New Roman"/>
          <w:sz w:val="20"/>
          <w:szCs w:val="20"/>
        </w:rPr>
        <w:t>Eğitim boyunca train ve validation loss değerleri her epoch sonunda kaydedilmiştir. Sağlıklı bir eğitimde her iki kayıp değerinin de monoton azalması ve aralarındaki farkın küçük kalması beklenmektedir; bu durum modelin eğitim verisini ezberlemek yerine gerçekten genelleme yaptığını gösterir. Colab notebook'undaki loss_curve.png çıktısı bu kriterlere göre yorumlanmalıdır.</w:t>
      </w:r>
    </w:p>
    <w:p>
      <w:pPr>
        <w:pStyle w:val="Normal"/>
        <w:pBdr>
          <w:bottom w:val="single" w:sz="4" w:space="1" w:color="1F3864"/>
        </w:pBdr>
        <w:spacing w:before="200" w:after="100"/>
        <w:rPr/>
      </w:pPr>
      <w:r>
        <w:rPr>
          <w:rFonts w:eastAsia="Times New Roman" w:cs="Times New Roman"/>
          <w:b/>
          <w:bCs/>
          <w:color w:val="1F3864"/>
          <w:sz w:val="20"/>
          <w:szCs w:val="20"/>
        </w:rPr>
        <w:t>4.4 Kalitatif Test Örnekleri</w:t>
      </w:r>
    </w:p>
    <w:p>
      <w:pPr>
        <w:pStyle w:val="Normal"/>
        <w:spacing w:lineRule="auto" w:line="276" w:before="60" w:after="60"/>
        <w:ind w:firstLine="720"/>
        <w:jc w:val="both"/>
        <w:rPr/>
      </w:pPr>
      <w:r>
        <w:rPr>
          <w:rFonts w:eastAsia="Times New Roman" w:cs="Times New Roman"/>
          <w:sz w:val="20"/>
          <w:szCs w:val="20"/>
        </w:rPr>
        <w:t>Eğitim tamamlandıktan sonra tars_chat() fonksiyonuyla modele çeşitli teknik sorular yöneltilmiştir. Aşağıdaki tablo eğitim verisinde yer alan ve yer almayan soru türleri için beklenen davranışı özetlemektedir.</w:t>
      </w:r>
    </w:p>
    <w:p>
      <w:pPr>
        <w:pStyle w:val="Normal"/>
        <w:rPr/>
      </w:pPr>
      <w:r>
        <w:rPr/>
      </w:r>
    </w:p>
    <w:p>
      <w:pPr>
        <w:pStyle w:val="Normal"/>
        <w:spacing w:before="60" w:after="80"/>
        <w:jc w:val="center"/>
        <w:rPr/>
      </w:pPr>
      <w:r>
        <w:rPr>
          <w:rFonts w:eastAsia="Times New Roman" w:cs="Times New Roman"/>
          <w:b/>
          <w:bCs/>
          <w:sz w:val="18"/>
          <w:szCs w:val="18"/>
        </w:rPr>
        <w:t>Tablo 4. Örnek Soru-Cevap Çiftleri ve Değerlendirme</w:t>
      </w:r>
    </w:p>
    <w:tbl>
      <w:tblPr>
        <w:tblW w:w="9026" w:type="dxa"/>
        <w:jc w:val="start"/>
        <w:tblInd w:w="0" w:type="dxa"/>
        <w:tblLayout w:type="fixed"/>
        <w:tblCellMar>
          <w:top w:w="80" w:type="dxa"/>
          <w:start w:w="120" w:type="dxa"/>
          <w:bottom w:w="80" w:type="dxa"/>
          <w:end w:w="120" w:type="dxa"/>
        </w:tblCellMar>
      </w:tblPr>
      <w:tblGrid>
        <w:gridCol w:w="3000"/>
        <w:gridCol w:w="4025"/>
        <w:gridCol w:w="2001"/>
      </w:tblGrid>
      <w:tr>
        <w:trPr/>
        <w:tc>
          <w:tcPr>
            <w:tcW w:w="3000" w:type="dxa"/>
            <w:tcBorders>
              <w:top w:val="single" w:sz="4" w:space="0" w:color="AAAAAA"/>
              <w:start w:val="single" w:sz="4" w:space="0" w:color="AAAAAA"/>
              <w:bottom w:val="single" w:sz="4" w:space="0" w:color="AAAAAA"/>
              <w:end w:val="single" w:sz="4" w:space="0" w:color="AAAAAA"/>
            </w:tcBorders>
            <w:shd w:fill="1F3864" w:val="clear"/>
            <w:vAlign w:val="center"/>
          </w:tcPr>
          <w:p>
            <w:pPr>
              <w:pStyle w:val="Normal"/>
              <w:jc w:val="center"/>
              <w:rPr/>
            </w:pPr>
            <w:r>
              <w:rPr>
                <w:rFonts w:eastAsia="Times New Roman" w:cs="Times New Roman"/>
                <w:b/>
                <w:bCs/>
                <w:color w:val="FFFFFF"/>
                <w:sz w:val="18"/>
                <w:szCs w:val="18"/>
              </w:rPr>
              <w:t>Soru</w:t>
            </w:r>
          </w:p>
        </w:tc>
        <w:tc>
          <w:tcPr>
            <w:tcW w:w="4025" w:type="dxa"/>
            <w:tcBorders>
              <w:top w:val="single" w:sz="4" w:space="0" w:color="AAAAAA"/>
              <w:start w:val="single" w:sz="4" w:space="0" w:color="AAAAAA"/>
              <w:bottom w:val="single" w:sz="4" w:space="0" w:color="AAAAAA"/>
              <w:end w:val="single" w:sz="4" w:space="0" w:color="AAAAAA"/>
            </w:tcBorders>
            <w:shd w:fill="1F3864" w:val="clear"/>
            <w:vAlign w:val="center"/>
          </w:tcPr>
          <w:p>
            <w:pPr>
              <w:pStyle w:val="Normal"/>
              <w:jc w:val="center"/>
              <w:rPr/>
            </w:pPr>
            <w:r>
              <w:rPr>
                <w:rFonts w:eastAsia="Times New Roman" w:cs="Times New Roman"/>
                <w:b/>
                <w:bCs/>
                <w:color w:val="FFFFFF"/>
                <w:sz w:val="18"/>
                <w:szCs w:val="18"/>
              </w:rPr>
              <w:t>Beklenen yanıt türü</w:t>
            </w:r>
          </w:p>
        </w:tc>
        <w:tc>
          <w:tcPr>
            <w:tcW w:w="2001" w:type="dxa"/>
            <w:tcBorders>
              <w:top w:val="single" w:sz="4" w:space="0" w:color="AAAAAA"/>
              <w:start w:val="single" w:sz="4" w:space="0" w:color="AAAAAA"/>
              <w:bottom w:val="single" w:sz="4" w:space="0" w:color="AAAAAA"/>
              <w:end w:val="single" w:sz="4" w:space="0" w:color="AAAAAA"/>
            </w:tcBorders>
            <w:shd w:fill="1F3864" w:val="clear"/>
            <w:vAlign w:val="center"/>
          </w:tcPr>
          <w:p>
            <w:pPr>
              <w:pStyle w:val="Normal"/>
              <w:jc w:val="center"/>
              <w:rPr/>
            </w:pPr>
            <w:r>
              <w:rPr>
                <w:rFonts w:eastAsia="Times New Roman" w:cs="Times New Roman"/>
                <w:b/>
                <w:bCs/>
                <w:color w:val="FFFFFF"/>
                <w:sz w:val="18"/>
                <w:szCs w:val="18"/>
              </w:rPr>
              <w:t>Değerlendirme kriteri</w:t>
            </w:r>
          </w:p>
        </w:tc>
      </w:tr>
      <w:tr>
        <w:trPr/>
        <w:tc>
          <w:tcPr>
            <w:tcW w:w="3000"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rPr>
                <w:rFonts w:eastAsia="Times New Roman" w:cs="Times New Roman"/>
                <w:b w:val="false"/>
                <w:bCs w:val="false"/>
                <w:color w:val="000000"/>
                <w:sz w:val="18"/>
                <w:szCs w:val="18"/>
              </w:rPr>
              <w:t>ADC biriminin rolü nedir?</w:t>
            </w:r>
          </w:p>
        </w:tc>
        <w:tc>
          <w:tcPr>
            <w:tcW w:w="4025"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rPr>
                <w:rFonts w:eastAsia="Times New Roman" w:cs="Times New Roman"/>
                <w:b w:val="false"/>
                <w:bCs w:val="false"/>
                <w:color w:val="000000"/>
                <w:sz w:val="18"/>
                <w:szCs w:val="18"/>
              </w:rPr>
              <w:t>Analog-dijital dönüşüm açıklaması</w:t>
            </w:r>
          </w:p>
        </w:tc>
        <w:tc>
          <w:tcPr>
            <w:tcW w:w="2001"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rPr>
                <w:rFonts w:eastAsia="Times New Roman" w:cs="Times New Roman"/>
                <w:b w:val="false"/>
                <w:bCs w:val="false"/>
                <w:color w:val="000000"/>
                <w:sz w:val="18"/>
                <w:szCs w:val="18"/>
              </w:rPr>
              <w:t>Eğitim verisinde mevcut</w:t>
            </w:r>
          </w:p>
        </w:tc>
      </w:tr>
      <w:tr>
        <w:trPr/>
        <w:tc>
          <w:tcPr>
            <w:tcW w:w="3000" w:type="dxa"/>
            <w:tcBorders>
              <w:top w:val="single" w:sz="4" w:space="0" w:color="AAAAAA"/>
              <w:start w:val="single" w:sz="4" w:space="0" w:color="AAAAAA"/>
              <w:bottom w:val="single" w:sz="4" w:space="0" w:color="AAAAAA"/>
              <w:end w:val="single" w:sz="4" w:space="0" w:color="AAAAAA"/>
            </w:tcBorders>
            <w:vAlign w:val="center"/>
          </w:tcPr>
          <w:p>
            <w:pPr>
              <w:pStyle w:val="Normal"/>
              <w:jc w:val="center"/>
              <w:rPr/>
            </w:pPr>
            <w:r>
              <w:rPr>
                <w:rFonts w:eastAsia="Times New Roman" w:cs="Times New Roman"/>
                <w:b w:val="false"/>
                <w:bCs w:val="false"/>
                <w:color w:val="000000"/>
                <w:sz w:val="18"/>
                <w:szCs w:val="18"/>
              </w:rPr>
              <w:t>IMU hangi verileri ölçer?</w:t>
            </w:r>
          </w:p>
        </w:tc>
        <w:tc>
          <w:tcPr>
            <w:tcW w:w="4025" w:type="dxa"/>
            <w:tcBorders>
              <w:top w:val="single" w:sz="4" w:space="0" w:color="AAAAAA"/>
              <w:start w:val="single" w:sz="4" w:space="0" w:color="AAAAAA"/>
              <w:bottom w:val="single" w:sz="4" w:space="0" w:color="AAAAAA"/>
              <w:end w:val="single" w:sz="4" w:space="0" w:color="AAAAAA"/>
            </w:tcBorders>
            <w:vAlign w:val="center"/>
          </w:tcPr>
          <w:p>
            <w:pPr>
              <w:pStyle w:val="Normal"/>
              <w:jc w:val="center"/>
              <w:rPr/>
            </w:pPr>
            <w:r>
              <w:rPr>
                <w:rFonts w:eastAsia="Times New Roman" w:cs="Times New Roman"/>
                <w:b w:val="false"/>
                <w:bCs w:val="false"/>
                <w:color w:val="000000"/>
                <w:sz w:val="18"/>
                <w:szCs w:val="18"/>
              </w:rPr>
              <w:t>İvme, açısal hız, manyetik alan</w:t>
            </w:r>
          </w:p>
        </w:tc>
        <w:tc>
          <w:tcPr>
            <w:tcW w:w="2001" w:type="dxa"/>
            <w:tcBorders>
              <w:top w:val="single" w:sz="4" w:space="0" w:color="AAAAAA"/>
              <w:start w:val="single" w:sz="4" w:space="0" w:color="AAAAAA"/>
              <w:bottom w:val="single" w:sz="4" w:space="0" w:color="AAAAAA"/>
              <w:end w:val="single" w:sz="4" w:space="0" w:color="AAAAAA"/>
            </w:tcBorders>
            <w:vAlign w:val="center"/>
          </w:tcPr>
          <w:p>
            <w:pPr>
              <w:pStyle w:val="Normal"/>
              <w:jc w:val="center"/>
              <w:rPr/>
            </w:pPr>
            <w:r>
              <w:rPr>
                <w:rFonts w:eastAsia="Times New Roman" w:cs="Times New Roman"/>
                <w:b w:val="false"/>
                <w:bCs w:val="false"/>
                <w:color w:val="000000"/>
                <w:sz w:val="18"/>
                <w:szCs w:val="18"/>
              </w:rPr>
              <w:t>Eğitim verisinde mevcut</w:t>
            </w:r>
          </w:p>
        </w:tc>
      </w:tr>
      <w:tr>
        <w:trPr/>
        <w:tc>
          <w:tcPr>
            <w:tcW w:w="3000"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rPr>
                <w:rFonts w:eastAsia="Times New Roman" w:cs="Times New Roman"/>
                <w:b w:val="false"/>
                <w:bCs w:val="false"/>
                <w:color w:val="000000"/>
                <w:sz w:val="18"/>
                <w:szCs w:val="18"/>
              </w:rPr>
              <w:t>UART ile SPI farkı?</w:t>
            </w:r>
          </w:p>
        </w:tc>
        <w:tc>
          <w:tcPr>
            <w:tcW w:w="4025"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rPr>
                <w:rFonts w:eastAsia="Times New Roman" w:cs="Times New Roman"/>
                <w:b w:val="false"/>
                <w:bCs w:val="false"/>
                <w:color w:val="000000"/>
                <w:sz w:val="18"/>
                <w:szCs w:val="18"/>
              </w:rPr>
              <w:t>Hat sayısı ve hız karşılaştırması</w:t>
            </w:r>
          </w:p>
        </w:tc>
        <w:tc>
          <w:tcPr>
            <w:tcW w:w="2001"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rPr>
                <w:rFonts w:eastAsia="Times New Roman" w:cs="Times New Roman"/>
                <w:b w:val="false"/>
                <w:bCs w:val="false"/>
                <w:color w:val="000000"/>
                <w:sz w:val="18"/>
                <w:szCs w:val="18"/>
              </w:rPr>
              <w:t>Eğitim verisinde mevcut</w:t>
            </w:r>
          </w:p>
        </w:tc>
      </w:tr>
      <w:tr>
        <w:trPr/>
        <w:tc>
          <w:tcPr>
            <w:tcW w:w="3000" w:type="dxa"/>
            <w:tcBorders>
              <w:top w:val="single" w:sz="4" w:space="0" w:color="AAAAAA"/>
              <w:start w:val="single" w:sz="4" w:space="0" w:color="AAAAAA"/>
              <w:bottom w:val="single" w:sz="4" w:space="0" w:color="AAAAAA"/>
              <w:end w:val="single" w:sz="4" w:space="0" w:color="AAAAAA"/>
            </w:tcBorders>
            <w:vAlign w:val="center"/>
          </w:tcPr>
          <w:p>
            <w:pPr>
              <w:pStyle w:val="Normal"/>
              <w:jc w:val="center"/>
              <w:rPr/>
            </w:pPr>
            <w:r>
              <w:rPr>
                <w:rFonts w:eastAsia="Times New Roman" w:cs="Times New Roman"/>
                <w:b w:val="false"/>
                <w:bCs w:val="false"/>
                <w:color w:val="000000"/>
                <w:sz w:val="18"/>
                <w:szCs w:val="18"/>
              </w:rPr>
              <w:t>Watchdog timer neden kullanılır?</w:t>
            </w:r>
          </w:p>
        </w:tc>
        <w:tc>
          <w:tcPr>
            <w:tcW w:w="4025" w:type="dxa"/>
            <w:tcBorders>
              <w:top w:val="single" w:sz="4" w:space="0" w:color="AAAAAA"/>
              <w:start w:val="single" w:sz="4" w:space="0" w:color="AAAAAA"/>
              <w:bottom w:val="single" w:sz="4" w:space="0" w:color="AAAAAA"/>
              <w:end w:val="single" w:sz="4" w:space="0" w:color="AAAAAA"/>
            </w:tcBorders>
            <w:vAlign w:val="center"/>
          </w:tcPr>
          <w:p>
            <w:pPr>
              <w:pStyle w:val="Normal"/>
              <w:jc w:val="center"/>
              <w:rPr/>
            </w:pPr>
            <w:r>
              <w:rPr>
                <w:rFonts w:eastAsia="Times New Roman" w:cs="Times New Roman"/>
                <w:b w:val="false"/>
                <w:bCs w:val="false"/>
                <w:color w:val="000000"/>
                <w:sz w:val="18"/>
                <w:szCs w:val="18"/>
              </w:rPr>
              <w:t>Sistem donmalarına karşı koruma</w:t>
            </w:r>
          </w:p>
        </w:tc>
        <w:tc>
          <w:tcPr>
            <w:tcW w:w="2001" w:type="dxa"/>
            <w:tcBorders>
              <w:top w:val="single" w:sz="4" w:space="0" w:color="AAAAAA"/>
              <w:start w:val="single" w:sz="4" w:space="0" w:color="AAAAAA"/>
              <w:bottom w:val="single" w:sz="4" w:space="0" w:color="AAAAAA"/>
              <w:end w:val="single" w:sz="4" w:space="0" w:color="AAAAAA"/>
            </w:tcBorders>
            <w:vAlign w:val="center"/>
          </w:tcPr>
          <w:p>
            <w:pPr>
              <w:pStyle w:val="Normal"/>
              <w:jc w:val="center"/>
              <w:rPr/>
            </w:pPr>
            <w:r>
              <w:rPr>
                <w:rFonts w:eastAsia="Times New Roman" w:cs="Times New Roman"/>
                <w:b w:val="false"/>
                <w:bCs w:val="false"/>
                <w:color w:val="000000"/>
                <w:sz w:val="18"/>
                <w:szCs w:val="18"/>
              </w:rPr>
              <w:t>Eğitim verisinde mevcut</w:t>
            </w:r>
          </w:p>
        </w:tc>
      </w:tr>
      <w:tr>
        <w:trPr/>
        <w:tc>
          <w:tcPr>
            <w:tcW w:w="3000"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rPr>
                <w:rFonts w:eastAsia="Times New Roman" w:cs="Times New Roman"/>
                <w:b w:val="false"/>
                <w:bCs w:val="false"/>
                <w:color w:val="000000"/>
                <w:sz w:val="18"/>
                <w:szCs w:val="18"/>
              </w:rPr>
              <w:t>CAN bus neden tercih edilir?</w:t>
            </w:r>
          </w:p>
        </w:tc>
        <w:tc>
          <w:tcPr>
            <w:tcW w:w="4025"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rPr>
                <w:rFonts w:eastAsia="Times New Roman" w:cs="Times New Roman"/>
                <w:b w:val="false"/>
                <w:bCs w:val="false"/>
                <w:color w:val="000000"/>
                <w:sz w:val="18"/>
                <w:szCs w:val="18"/>
              </w:rPr>
              <w:t>Gürültü dayanıklılığı, çok düğüm</w:t>
            </w:r>
          </w:p>
        </w:tc>
        <w:tc>
          <w:tcPr>
            <w:tcW w:w="2001" w:type="dxa"/>
            <w:tcBorders>
              <w:top w:val="single" w:sz="4" w:space="0" w:color="AAAAAA"/>
              <w:start w:val="single" w:sz="4" w:space="0" w:color="AAAAAA"/>
              <w:bottom w:val="single" w:sz="4" w:space="0" w:color="AAAAAA"/>
              <w:end w:val="single" w:sz="4" w:space="0" w:color="AAAAAA"/>
            </w:tcBorders>
            <w:shd w:fill="F2F2F2" w:val="clear"/>
            <w:vAlign w:val="center"/>
          </w:tcPr>
          <w:p>
            <w:pPr>
              <w:pStyle w:val="Normal"/>
              <w:jc w:val="center"/>
              <w:rPr/>
            </w:pPr>
            <w:r>
              <w:rPr>
                <w:rFonts w:eastAsia="Times New Roman" w:cs="Times New Roman"/>
                <w:b w:val="false"/>
                <w:bCs w:val="false"/>
                <w:color w:val="000000"/>
                <w:sz w:val="18"/>
                <w:szCs w:val="18"/>
              </w:rPr>
              <w:t>Genelleme testi</w:t>
            </w:r>
          </w:p>
        </w:tc>
      </w:tr>
    </w:tbl>
    <w:p>
      <w:pPr>
        <w:pStyle w:val="Normal"/>
        <w:rPr/>
      </w:pPr>
      <w:r>
        <w:rPr/>
      </w:r>
    </w:p>
    <w:p>
      <w:pPr>
        <w:pStyle w:val="Normal"/>
        <w:pBdr>
          <w:bottom w:val="single" w:sz="4" w:space="1" w:color="1F3864"/>
        </w:pBdr>
        <w:spacing w:before="200" w:after="100"/>
        <w:rPr/>
      </w:pPr>
      <w:r>
        <w:rPr>
          <w:rFonts w:eastAsia="Times New Roman" w:cs="Times New Roman"/>
          <w:b/>
          <w:bCs/>
          <w:color w:val="1F3864"/>
          <w:sz w:val="20"/>
          <w:szCs w:val="20"/>
        </w:rPr>
        <w:t>4.5 RAG Retrieval Performansı</w:t>
      </w:r>
    </w:p>
    <w:p>
      <w:pPr>
        <w:pStyle w:val="Normal"/>
        <w:spacing w:lineRule="auto" w:line="276" w:before="60" w:after="60"/>
        <w:ind w:firstLine="720"/>
        <w:jc w:val="both"/>
        <w:rPr/>
      </w:pPr>
      <w:r>
        <w:rPr>
          <w:rFonts w:eastAsia="Times New Roman" w:cs="Times New Roman"/>
          <w:sz w:val="20"/>
          <w:szCs w:val="20"/>
        </w:rPr>
        <w:t>RAG bileşeni 5 test sorgusu üzerinde ortalama 0.869 cosine benzerlik skoru elde etmiştir. Bu sonuç, çok dilli MiniLM modelinin Türkçe teknik sorguları ilgili doküman parçalarıyla doğru eşleştirebildiğini göstermektedir. Mevcut aşamada RAG ve QLoRA bileşenleri birbirinden bağımsız çalışmaktadır; sonraki aşamada retrieval çıktısı modelin sistem mesajına bağlam olarak enjekte edilecektir.</w:t>
      </w:r>
    </w:p>
    <w:p>
      <w:pPr>
        <w:pStyle w:val="Normal"/>
        <w:rPr/>
      </w:pPr>
      <w:r>
        <w:rPr/>
      </w:r>
    </w:p>
    <w:p>
      <w:pPr>
        <w:pStyle w:val="Normal"/>
        <w:rPr/>
      </w:pPr>
      <w:r>
        <w:rPr/>
      </w:r>
      <w:r>
        <w:br w:type="page"/>
      </w:r>
    </w:p>
    <w:p>
      <w:pPr>
        <w:pStyle w:val="Normal"/>
        <w:spacing w:before="0" w:after="160"/>
        <w:jc w:val="center"/>
        <w:rPr/>
      </w:pPr>
      <w:r>
        <w:rPr>
          <w:rFonts w:eastAsia="Times New Roman" w:cs="Times New Roman"/>
          <w:b/>
          <w:bCs/>
          <w:color w:val="1F3864"/>
          <w:sz w:val="24"/>
          <w:szCs w:val="24"/>
        </w:rPr>
        <w:t>5. SONUÇ</w:t>
      </w:r>
    </w:p>
    <w:p>
      <w:pPr>
        <w:pStyle w:val="Normal"/>
        <w:spacing w:lineRule="auto" w:line="276" w:before="60" w:after="60"/>
        <w:ind w:firstLine="720"/>
        <w:jc w:val="both"/>
        <w:rPr/>
      </w:pPr>
      <w:r>
        <w:rPr>
          <w:rFonts w:eastAsia="Times New Roman" w:cs="Times New Roman"/>
          <w:sz w:val="20"/>
          <w:szCs w:val="20"/>
        </w:rPr>
        <w:t>Bu çalışmada, gömülü sistemler alanında Türkçe teknik sorulara doğrudan yanıt verebilen bir dil modeli geliştirmek amacıyla TARS projesi kapsamında QLoRA ince ayar ve RAG tabanlı bir pipeline hayata geçirilmiştir. Qwen2.5-0.5B-Instruct modeli 4-bit NF4 kuantizasyonu ve LoRA adaptörü (r=16, α=32) ile Google Colab T4 GPU üzerinde 396 soru-cevap çifti kullanılarak ince ayara tabi tutulmuştur. Bu yaklaşım, full fine-tuning'in VRAM yetersizliği nedeniyle mümkün olmadığı bir ortamda modelin parametrelerinin yaklaşık %92-96'sını donduraraken yalnızca adaptör matrislerini eğiterek hem bellek hem de zaman verimliliği sağlamıştır. RAG bileşeni ise 6.800'ü aşan metin parçası üzerinde ortalama 0.869 cosine benzerlik skoru ile Türkçe teknik sorguları doğru kaynaklara yönlendirme kapasitesini ortaya koymuştur. Projenin bir sonraki aşamasında iki bileşen birleştirilerek retrieval bağlamının modele enjekte edilmesi, Streamlit arayüzüyle chatbot haline getirilmesi ve Ollama üzerinden yerel çalışma kapasitesinin kazandırılması hedeflenmektedir.</w:t>
      </w:r>
    </w:p>
    <w:p>
      <w:pPr>
        <w:pStyle w:val="Normal"/>
        <w:rPr/>
      </w:pPr>
      <w:r>
        <w:rPr/>
      </w:r>
    </w:p>
    <w:p>
      <w:pPr>
        <w:pStyle w:val="Normal"/>
        <w:spacing w:before="240" w:after="160"/>
        <w:jc w:val="center"/>
        <w:rPr/>
      </w:pPr>
      <w:r>
        <w:rPr>
          <w:rFonts w:eastAsia="Times New Roman" w:cs="Times New Roman"/>
          <w:b/>
          <w:bCs/>
          <w:color w:val="1F3864"/>
          <w:sz w:val="24"/>
          <w:szCs w:val="24"/>
        </w:rPr>
        <w:t>KAYNAKLAR</w:t>
      </w:r>
    </w:p>
    <w:p>
      <w:pPr>
        <w:pStyle w:val="Normal"/>
        <w:spacing w:before="60" w:after="60"/>
        <w:ind w:hanging="360" w:start="360"/>
        <w:rPr/>
      </w:pPr>
      <w:r>
        <w:rPr>
          <w:rFonts w:eastAsia="Times New Roman" w:cs="Times New Roman"/>
          <w:sz w:val="18"/>
          <w:szCs w:val="18"/>
        </w:rPr>
        <w:t>[1] Hu, E. J. ve ark. (2021). LoRA: Low-Rank Adaptation of Large Language Models. arXiv:2106.09685.</w:t>
      </w:r>
    </w:p>
    <w:p>
      <w:pPr>
        <w:pStyle w:val="Normal"/>
        <w:spacing w:before="60" w:after="60"/>
        <w:ind w:hanging="360" w:start="360"/>
        <w:rPr/>
      </w:pPr>
      <w:r>
        <w:rPr>
          <w:rFonts w:eastAsia="Times New Roman" w:cs="Times New Roman"/>
          <w:sz w:val="18"/>
          <w:szCs w:val="18"/>
        </w:rPr>
        <w:t>[2] Dettmers, T. ve ark. (2023). QLoRA: Efficient Finetuning of Quantized LLMs. NeurIPS 2023.</w:t>
      </w:r>
    </w:p>
    <w:p>
      <w:pPr>
        <w:pStyle w:val="Normal"/>
        <w:spacing w:before="60" w:after="60"/>
        <w:ind w:hanging="360" w:start="360"/>
        <w:rPr/>
      </w:pPr>
      <w:r>
        <w:rPr>
          <w:rFonts w:eastAsia="Times New Roman" w:cs="Times New Roman"/>
          <w:sz w:val="18"/>
          <w:szCs w:val="18"/>
        </w:rPr>
        <w:t>[3] Qwen Team (2024). Qwen2.5 Technical Report. Alibaba Cloud.</w:t>
      </w:r>
    </w:p>
    <w:p>
      <w:pPr>
        <w:pStyle w:val="Normal"/>
        <w:spacing w:before="60" w:after="60"/>
        <w:ind w:hanging="360" w:start="360"/>
        <w:rPr/>
      </w:pPr>
      <w:r>
        <w:rPr>
          <w:rFonts w:eastAsia="Times New Roman" w:cs="Times New Roman"/>
          <w:sz w:val="18"/>
          <w:szCs w:val="18"/>
        </w:rPr>
        <w:t>[4] Lewis, P. ve ark. (2020). Retrieval-Augmented Generation for Knowledge-Intensive NLP Tasks. NeurIPS 2020.</w:t>
      </w:r>
    </w:p>
    <w:p>
      <w:pPr>
        <w:pStyle w:val="Normal"/>
        <w:spacing w:before="60" w:after="60"/>
        <w:ind w:hanging="360" w:start="360"/>
        <w:rPr/>
      </w:pPr>
      <w:r>
        <w:rPr>
          <w:rFonts w:eastAsia="Times New Roman" w:cs="Times New Roman"/>
          <w:sz w:val="18"/>
          <w:szCs w:val="18"/>
        </w:rPr>
        <w:t>[5] Reimers, N. ve Gurevych, I. (2019). Sentence-BERT: Sentence Embeddings using Siamese BERT-Networks. EMNLP 2019.</w:t>
      </w:r>
    </w:p>
    <w:p>
      <w:pPr>
        <w:pStyle w:val="Normal"/>
        <w:spacing w:before="60" w:after="60"/>
        <w:ind w:hanging="360" w:start="360"/>
        <w:rPr/>
      </w:pPr>
      <w:r>
        <w:rPr>
          <w:rFonts w:eastAsia="Times New Roman" w:cs="Times New Roman"/>
          <w:sz w:val="18"/>
          <w:szCs w:val="18"/>
        </w:rPr>
        <w:t>[6] Johnson, J. ve ark. (2019). Billion-scale similarity search with GPUs. IEEE TPDS.</w:t>
      </w:r>
    </w:p>
    <w:p>
      <w:pPr>
        <w:pStyle w:val="Normal"/>
        <w:spacing w:before="60" w:after="60"/>
        <w:ind w:hanging="360" w:start="360"/>
        <w:rPr/>
      </w:pPr>
      <w:r>
        <w:rPr>
          <w:rFonts w:eastAsia="Times New Roman" w:cs="Times New Roman"/>
          <w:sz w:val="18"/>
          <w:szCs w:val="18"/>
        </w:rPr>
        <w:t>[7] Von Platen, P. ve ark. (2022). Hugging Face PEFT: Parameter-Efficient Fine-Tuning Methods. GitHub.</w:t>
      </w:r>
    </w:p>
    <w:p>
      <w:pPr>
        <w:pStyle w:val="Normal"/>
        <w:spacing w:before="60" w:after="60"/>
        <w:ind w:hanging="360" w:start="360"/>
        <w:rPr/>
      </w:pPr>
      <w:r>
        <w:rPr>
          <w:rFonts w:eastAsia="Times New Roman" w:cs="Times New Roman"/>
          <w:sz w:val="18"/>
          <w:szCs w:val="18"/>
        </w:rPr>
        <w:t>[8] Gömülü Sistem Teknik Dökümanları — Proje dahilinde derlenen 20 kaynak (2023–2024).</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a2" w:characterSet="windows-1254"/>
    <w:family w:val="roman"/>
    <w:pitch w:val="variable"/>
  </w:font>
  <w:font w:name="Times New Roman">
    <w:charset w:val="a2" w:characterSet="windows-1254"/>
    <w:family w:val="roman"/>
    <w:pitch w:val="variable"/>
  </w:font>
  <w:font w:name="Liberation Sans">
    <w:altName w:val="Arial"/>
    <w:charset w:val="a2" w:characterSet="windows-1254"/>
    <w:family w:val="swiss"/>
    <w:pitch w:val="variable"/>
  </w:font>
  <w:font w:name="Courier New">
    <w:charset w:val="a2" w:characterSet="windows-1254"/>
    <w:family w:val="roman"/>
    <w:pitch w:val="variable"/>
  </w:font>
</w:fonts>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tr-TR"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Times New Roman" w:cs="Times New Roman"/>
      <w:color w:val="auto"/>
      <w:kern w:val="0"/>
      <w:sz w:val="20"/>
      <w:szCs w:val="20"/>
      <w:lang w:val="tr-TR" w:eastAsia="zh-CN" w:bidi="hi-IN"/>
    </w:rPr>
  </w:style>
  <w:style w:type="paragraph" w:styleId="Heading1">
    <w:name w:val="heading 1"/>
    <w:basedOn w:val="Balk"/>
    <w:qFormat/>
    <w:pPr/>
    <w:rPr>
      <w:color w:val="2E74B5"/>
      <w:sz w:val="32"/>
      <w:szCs w:val="32"/>
    </w:rPr>
  </w:style>
  <w:style w:type="paragraph" w:styleId="Heading2">
    <w:name w:val="heading 2"/>
    <w:basedOn w:val="Balk"/>
    <w:qFormat/>
    <w:pPr/>
    <w:rPr>
      <w:color w:val="2E74B5"/>
      <w:sz w:val="26"/>
      <w:szCs w:val="26"/>
    </w:rPr>
  </w:style>
  <w:style w:type="paragraph" w:styleId="Heading3">
    <w:name w:val="heading 3"/>
    <w:basedOn w:val="Balk"/>
    <w:qFormat/>
    <w:pPr/>
    <w:rPr>
      <w:color w:val="1F4D78"/>
      <w:sz w:val="24"/>
      <w:szCs w:val="24"/>
    </w:rPr>
  </w:style>
  <w:style w:type="paragraph" w:styleId="Heading4">
    <w:name w:val="heading 4"/>
    <w:basedOn w:val="Balk"/>
    <w:qFormat/>
    <w:pPr/>
    <w:rPr>
      <w:i/>
      <w:iCs/>
      <w:color w:val="2E74B5"/>
    </w:rPr>
  </w:style>
  <w:style w:type="paragraph" w:styleId="Heading5">
    <w:name w:val="heading 5"/>
    <w:basedOn w:val="Balk"/>
    <w:qFormat/>
    <w:pPr/>
    <w:rPr>
      <w:color w:val="2E74B5"/>
    </w:rPr>
  </w:style>
  <w:style w:type="paragraph" w:styleId="Heading6">
    <w:name w:val="heading 6"/>
    <w:basedOn w:val="Balk"/>
    <w:qFormat/>
    <w:pPr/>
    <w:rPr>
      <w:color w:val="1F4D78"/>
    </w:rPr>
  </w:style>
  <w:style w:type="character" w:styleId="Hyperlink">
    <w:name w:val="Hyperlink"/>
    <w:uiPriority w:val="99"/>
    <w:unhideWhenUsed/>
    <w:rPr>
      <w:color w:val="0563C1"/>
      <w:u w:val="single"/>
    </w:rPr>
  </w:style>
  <w:style w:type="character" w:styleId="DipnotKarakterleri">
    <w:name w:val="Dipnot Karakterleri"/>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paragraph" w:styleId="Balk">
    <w:name w:val="Başlık"/>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Dizin">
    <w:name w:val="Dizin"/>
    <w:basedOn w:val="Normal"/>
    <w:qFormat/>
    <w:pPr>
      <w:suppressLineNumbers/>
    </w:pPr>
    <w:rPr>
      <w:rFonts w:cs="Arial"/>
    </w:rPr>
  </w:style>
  <w:style w:type="paragraph" w:styleId="Title">
    <w:name w:val="Title"/>
    <w:basedOn w:val="Balk"/>
    <w:qFormat/>
    <w:pPr/>
    <w:rPr>
      <w:sz w:val="56"/>
      <w:szCs w:val="56"/>
    </w:rPr>
  </w:style>
  <w:style w:type="paragraph" w:styleId="StrongEmphasis">
    <w:name w:val="Strong Emphasis"/>
    <w:qFormat/>
    <w:pPr>
      <w:widowControl/>
      <w:bidi w:val="0"/>
      <w:spacing w:before="0" w:after="0"/>
      <w:jc w:val="start"/>
    </w:pPr>
    <w:rPr>
      <w:rFonts w:ascii="Times New Roman" w:hAnsi="Times New Roman" w:eastAsia="Times New Roman" w:cs="Times New Roman"/>
      <w:b/>
      <w:bCs/>
      <w:color w:val="auto"/>
      <w:kern w:val="0"/>
      <w:sz w:val="20"/>
      <w:szCs w:val="20"/>
      <w:lang w:val="tr-TR" w:eastAsia="zh-CN" w:bidi="hi-IN"/>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0"/>
      <w:szCs w:val="20"/>
      <w:lang w:val="tr-T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cihanozden.resmi@gmail.com" TargetMode="External"/><Relationship Id="rId3" Type="http://schemas.openxmlformats.org/officeDocument/2006/relationships/image" Target="media/image1.jpe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LibreOffice/26.2.1.2$Windows_X86_64 LibreOffice_project/620$Build-2</Application>
  <AppVersion>15.0000</AppVersion>
  <Pages>5</Pages>
  <Words>1317</Words>
  <Characters>8891</Characters>
  <CharactersWithSpaces>10074</CharactersWithSpaces>
  <Paragraphs>138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2026-03-28T23:40:33Z</dcterms:created>
  <dc:creator>Un-named</dc:creator>
  <dc:description/>
  <dc:language>tr-TR</dc:language>
  <cp:lastModifiedBy/>
  <dcterms:modified xsi:type="dcterms:W3CDTF">2026-03-29T02:49:31Z</dcterms:modified>
  <cp:revision>2</cp:revision>
  <dc:subject/>
  <dc:title/>
</cp:coreProperties>
</file>