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6273F"/>
          <w:sz w:val="40"/>
          <w:szCs w:val="40"/>
        </w:rPr>
        <w:t xml:space="preserve">Manual do Sistema de Avaliação de Desempenho</w:t>
      </w:r>
    </w:p>
    <w:p>
      <w:pPr>
        <w:spacing w:after="300"/>
      </w:pPr>
      <w:r>
        <w:rPr>
          <w:b/>
          <w:bCs/>
          <w:color w:val="555555"/>
          <w:sz w:val="26"/>
          <w:szCs w:val="26"/>
        </w:rPr>
        <w:t xml:space="preserve">SENAR Ceará</w:t>
      </w:r>
    </w:p>
    <w:p>
      <w:pPr>
        <w:spacing w:after="140"/>
      </w:pPr>
      <w:r>
        <w:t xml:space="preserve">Sistema web (Flask + banco de dados Postgres/Supabase) para conduzir o ciclo anual de avaliação de desempenho: autoavaliação do empregado + avaliação do gestor imediato, cálculo do resultado final, liberação para o empregado, recursos (contestação de nota) e exportação de relatórios em Excel e PDF.</w:t>
      </w:r>
    </w:p>
    <w:p>
      <w:pPr>
        <w:spacing w:after="140"/>
      </w:pPr>
      <w:r>
        <w:t xml:space="preserve">Este manual cobre: visão geral, instalação do zero, configuração, banco de dados, rotina de uso (RH/administração), estrutura de pastas e solução de problemas comuns.</w:t>
      </w:r>
    </w:p>
    <w:p>
      <w:r>
        <w:br w:type="page"/>
      </w:r>
    </w:p>
    <w:p>
      <w:pPr>
        <w:pStyle w:val="Heading1"/>
      </w:pPr>
      <w:r>
        <w:t xml:space="preserve">Sumário</w:t>
      </w:r>
    </w:p>
    <w:p>
      <w:pPr>
        <w:spacing w:after="80"/>
      </w:pPr>
      <w:r>
        <w:t xml:space="preserve">1. Visão geral do fluxo</w:t>
      </w:r>
    </w:p>
    <w:p>
      <w:pPr>
        <w:spacing w:after="80"/>
      </w:pPr>
      <w:r>
        <w:t xml:space="preserve">2. Requisitos</w:t>
      </w:r>
    </w:p>
    <w:p>
      <w:pPr>
        <w:spacing w:after="80"/>
      </w:pPr>
      <w:r>
        <w:t xml:space="preserve">3. Instalação do zero</w:t>
      </w:r>
    </w:p>
    <w:p>
      <w:pPr>
        <w:spacing w:after="80"/>
      </w:pPr>
      <w:r>
        <w:t xml:space="preserve">4. Configuração do banco de dados (Supabase)</w:t>
      </w:r>
    </w:p>
    <w:p>
      <w:pPr>
        <w:spacing w:after="80"/>
      </w:pPr>
      <w:r>
        <w:t xml:space="preserve">5. Variáveis de ambiente (.env)</w:t>
      </w:r>
    </w:p>
    <w:p>
      <w:pPr>
        <w:spacing w:after="80"/>
      </w:pPr>
      <w:r>
        <w:t xml:space="preserve">6. Rodando o sistema localmente</w:t>
      </w:r>
    </w:p>
    <w:p>
      <w:pPr>
        <w:spacing w:after="80"/>
      </w:pPr>
      <w:r>
        <w:t xml:space="preserve">7. Cadastro inicial (setores, funcionários, vínculos, ciclo)</w:t>
      </w:r>
    </w:p>
    <w:p>
      <w:pPr>
        <w:spacing w:after="80"/>
      </w:pPr>
      <w:r>
        <w:t xml:space="preserve">8. Uso do dia a dia — Administração</w:t>
      </w:r>
    </w:p>
    <w:p>
      <w:pPr>
        <w:spacing w:after="80"/>
      </w:pPr>
      <w:r>
        <w:t xml:space="preserve">9. Uso do dia a dia — Gestor e Empregado</w:t>
      </w:r>
    </w:p>
    <w:p>
      <w:pPr>
        <w:spacing w:after="80"/>
      </w:pPr>
      <w:r>
        <w:t xml:space="preserve">10. Recursos (contestação de nota)</w:t>
      </w:r>
    </w:p>
    <w:p>
      <w:pPr>
        <w:spacing w:after="80"/>
      </w:pPr>
      <w:r>
        <w:t xml:space="preserve">11. Exportações (Excel e PDF)</w:t>
      </w:r>
    </w:p>
    <w:p>
      <w:pPr>
        <w:spacing w:after="80"/>
      </w:pPr>
      <w:r>
        <w:t xml:space="preserve">12. Estrutura de pastas e arquivos</w:t>
      </w:r>
    </w:p>
    <w:p>
      <w:pPr>
        <w:spacing w:after="80"/>
      </w:pPr>
      <w:r>
        <w:t xml:space="preserve">13. Deploy em produção (Vercel)</w:t>
      </w:r>
    </w:p>
    <w:p>
      <w:pPr>
        <w:spacing w:after="80"/>
      </w:pPr>
      <w:r>
        <w:t xml:space="preserve">14. Backup e versionamento (Git)</w:t>
      </w:r>
    </w:p>
    <w:p>
      <w:pPr>
        <w:spacing w:after="80"/>
      </w:pPr>
      <w:r>
        <w:t xml:space="preserve">15. Solução de problemas comuns</w:t>
      </w:r>
    </w:p>
    <w:p>
      <w:pPr>
        <w:spacing w:after="80"/>
      </w:pPr>
      <w:r>
        <w:t xml:space="preserve">16. Segurança — cuidados importantes</w:t>
      </w:r>
    </w:p>
    <w:p>
      <w:r>
        <w:br w:type="page"/>
      </w:r>
    </w:p>
    <w:p>
      <w:pPr>
        <w:pStyle w:val="Heading1"/>
        <w:spacing w:after="150" w:before="300"/>
      </w:pPr>
      <w:r>
        <w:t xml:space="preserve">1. Visão geral do fluxo</w:t>
      </w:r>
    </w:p>
    <w:p>
      <w:pPr>
        <w:spacing w:after="80"/>
      </w:pPr>
      <w:r>
        <w:t xml:space="preserve">1. O RH cria o ciclo de avaliação do exercício (ex.: 2026).</w:t>
      </w:r>
    </w:p>
    <w:p>
      <w:pPr>
        <w:spacing w:after="80"/>
      </w:pPr>
      <w:r>
        <w:t xml:space="preserve">2. O RH cadastra os funcionários (nome, cargo, setor, matrícula, data de admissão) e os vínculos (quem avalia quem naquele ciclo) — manualmente ou importando planilha.</w:t>
      </w:r>
    </w:p>
    <w:p>
      <w:pPr>
        <w:spacing w:after="80"/>
      </w:pPr>
      <w:r>
        <w:t xml:space="preserve">3. Cada gestor entra no sistema e vê a lista dos empregados que avalia.</w:t>
      </w:r>
    </w:p>
    <w:p>
      <w:pPr>
        <w:spacing w:after="80"/>
      </w:pPr>
      <w:r>
        <w:t xml:space="preserve">4. Cada empregado entra e preenche a autoavaliação.</w:t>
      </w:r>
    </w:p>
    <w:p>
      <w:pPr>
        <w:spacing w:after="80"/>
      </w:pPr>
      <w:r>
        <w:t xml:space="preserve">5. O formulário muda de acordo com o nível hierárquico da pessoa avaliada (Empregado, Gestor ou Superintendente têm formulários com fatores diferentes).</w:t>
      </w:r>
    </w:p>
    <w:p>
      <w:pPr>
        <w:spacing w:after="80"/>
      </w:pPr>
      <w:r>
        <w:t xml:space="preserve">6. Depois que autoavaliação e avaliação do gestor estão concluídas, o sistema calcula o Resultado Final:</w:t>
      </w:r>
    </w:p>
    <w:p>
      <w:pPr>
        <w:pBdr>
          <w:top w:val="single" w:color="CCCCCC" w:sz="2"/>
          <w:bottom w:val="single" w:color="CCCCCC" w:sz="2"/>
          <w:left w:val="single" w:color="CCCCCC" w:sz="2"/>
          <w:right w:val="single" w:color="CCCCCC" w:sz="2"/>
        </w:pBdr>
        <w:shd w:fill="F5F6F8" w:val="clear"/>
        <w:spacing w:after="200" w:before="100"/>
        <w:ind w:left="150" w:right="150"/>
      </w:pPr>
      <w:r>
        <w:rPr>
          <w:rFonts w:ascii="Consolas" w:cs="Consolas" w:eastAsia="Consolas" w:hAnsi="Consolas"/>
          <w:sz w:val="19"/>
          <w:szCs w:val="19"/>
        </w:rPr>
        <w:t xml:space="preserve">Resultado = Autoavaliação x 0,30 + Avaliação do Gestor x 0,70</w:t>
      </w:r>
      <w:r>
        <w:br/>
      </w:r>
      <w:r>
        <w:rPr>
          <w:rFonts w:ascii="Consolas" w:cs="Consolas" w:eastAsia="Consolas" w:hAnsi="Consolas"/>
          <w:sz w:val="19"/>
          <w:szCs w:val="19"/>
        </w:rPr>
        <w:t xml:space="preserve">Conceito:  A (8,0 a 10,0)  ·  B (7,0 a 7,9)  ·  C (abaixo de 7,0)</w:t>
      </w:r>
    </w:p>
    <w:p>
      <w:pPr>
        <w:spacing w:after="80"/>
      </w:pPr>
      <w:r>
        <w:t xml:space="preserve">7. O resultado fica visível só para a Administração até ela liberar, individualmente, para cada empregado ver o próprio resultado.</w:t>
      </w:r>
    </w:p>
    <w:p>
      <w:pPr>
        <w:spacing w:after="80"/>
      </w:pPr>
      <w:r>
        <w:t xml:space="preserve">8. Se o empregado discordar do resultado, pode abrir um recurso, que passa pela Comissão → Gestor → Comissão → (se mantido) Presidência.</w:t>
      </w:r>
    </w:p>
    <w:p>
      <w:pPr>
        <w:pStyle w:val="Heading1"/>
        <w:spacing w:after="150" w:before="300"/>
      </w:pPr>
      <w:r>
        <w:t xml:space="preserve">2. Requisitos</w:t>
      </w:r>
    </w:p>
    <w:p>
      <w:pPr>
        <w:pStyle w:val="ListParagraph"/>
        <w:numPr>
          <w:ilvl w:val="0"/>
          <w:numId w:val="1"/>
        </w:numPr>
        <w:spacing w:after="80"/>
      </w:pPr>
      <w:r>
        <w:t xml:space="preserve">Python 3.11+ instalado.</w:t>
      </w:r>
    </w:p>
    <w:p>
      <w:pPr>
        <w:pStyle w:val="ListParagraph"/>
        <w:numPr>
          <w:ilvl w:val="0"/>
          <w:numId w:val="1"/>
        </w:numPr>
        <w:spacing w:after="80"/>
      </w:pPr>
      <w:r>
        <w:t xml:space="preserve">Uma conta no Supabase (banco Postgres gratuito) — ou outro Postgres acessível via connection string.</w:t>
      </w:r>
    </w:p>
    <w:p>
      <w:pPr>
        <w:pStyle w:val="ListParagraph"/>
        <w:numPr>
          <w:ilvl w:val="0"/>
          <w:numId w:val="1"/>
        </w:numPr>
        <w:spacing w:after="80"/>
      </w:pPr>
      <w:r>
        <w:t xml:space="preserve">Git (para clonar/atualizar o código).</w:t>
      </w:r>
    </w:p>
    <w:p>
      <w:pPr>
        <w:pStyle w:val="ListParagraph"/>
        <w:numPr>
          <w:ilvl w:val="0"/>
          <w:numId w:val="1"/>
        </w:numPr>
        <w:spacing w:after="80"/>
      </w:pPr>
      <w:r>
        <w:t xml:space="preserve">(Opcional) Conta de e-mail Gmail, se quiser que a Comissão receba aviso por e-mail quando um recurso for aberto.</w:t>
      </w:r>
    </w:p>
    <w:p>
      <w:pPr>
        <w:pStyle w:val="Heading1"/>
        <w:spacing w:after="150" w:before="300"/>
      </w:pPr>
      <w:r>
        <w:t xml:space="preserve">3. Instalação do zero</w:t>
      </w:r>
    </w:p>
    <w:p>
      <w:pPr>
        <w:pBdr>
          <w:top w:val="single" w:color="CCCCCC" w:sz="2"/>
          <w:bottom w:val="single" w:color="CCCCCC" w:sz="2"/>
          <w:left w:val="single" w:color="CCCCCC" w:sz="2"/>
          <w:right w:val="single" w:color="CCCCCC" w:sz="2"/>
        </w:pBdr>
        <w:shd w:fill="F5F6F8" w:val="clear"/>
        <w:spacing w:after="200" w:before="100"/>
        <w:ind w:left="150" w:right="150"/>
      </w:pPr>
      <w:r>
        <w:rPr>
          <w:rFonts w:ascii="Consolas" w:cs="Consolas" w:eastAsia="Consolas" w:hAnsi="Consolas"/>
          <w:sz w:val="19"/>
          <w:szCs w:val="19"/>
        </w:rPr>
        <w:t xml:space="preserve"># 1. Clonar o repositório</w:t>
      </w:r>
      <w:r>
        <w:br/>
      </w:r>
      <w:r>
        <w:rPr>
          <w:rFonts w:ascii="Consolas" w:cs="Consolas" w:eastAsia="Consolas" w:hAnsi="Consolas"/>
          <w:sz w:val="19"/>
          <w:szCs w:val="19"/>
        </w:rPr>
        <w:t xml:space="preserve">git clone &lt;url-do-repositorio&gt;</w:t>
      </w:r>
      <w:r>
        <w:br/>
      </w:r>
      <w:r>
        <w:rPr>
          <w:rFonts w:ascii="Consolas" w:cs="Consolas" w:eastAsia="Consolas" w:hAnsi="Consolas"/>
          <w:sz w:val="19"/>
          <w:szCs w:val="19"/>
        </w:rPr>
        <w:t xml:space="preserve">cd avaliacao_desempenho</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2. Criar e ativar o ambiente virtual</w:t>
      </w:r>
      <w:r>
        <w:br/>
      </w:r>
      <w:r>
        <w:rPr>
          <w:rFonts w:ascii="Consolas" w:cs="Consolas" w:eastAsia="Consolas" w:hAnsi="Consolas"/>
          <w:sz w:val="19"/>
          <w:szCs w:val="19"/>
        </w:rPr>
        <w:t xml:space="preserve">python -m venv venv</w:t>
      </w:r>
      <w:r>
        <w:br/>
      </w:r>
      <w:r>
        <w:rPr>
          <w:rFonts w:ascii="Consolas" w:cs="Consolas" w:eastAsia="Consolas" w:hAnsi="Consolas"/>
          <w:sz w:val="19"/>
          <w:szCs w:val="19"/>
        </w:rPr>
        <w:t xml:space="preserve">source venv/bin/activate          # Windows: venv\Scripts\activate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 3. Instalar as dependências</w:t>
      </w:r>
      <w:r>
        <w:br/>
      </w:r>
      <w:r>
        <w:rPr>
          <w:rFonts w:ascii="Consolas" w:cs="Consolas" w:eastAsia="Consolas" w:hAnsi="Consolas"/>
          <w:sz w:val="19"/>
          <w:szCs w:val="19"/>
        </w:rPr>
        <w:t xml:space="preserve">pip install -r requirements.txt</w:t>
      </w:r>
    </w:p>
    <w:p>
      <w:pPr>
        <w:spacing w:after="140"/>
      </w:pPr>
      <w:r>
        <w:t xml:space="preserve">Dependências principais (arquivo requirements.txt):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16273F" w:val="clear"/>
            <w:tcMar>
              <w:top w:type="dxa" w:w="60"/>
              <w:left w:type="dxa" w:w="100"/>
              <w:bottom w:type="dxa" w:w="60"/>
              <w:right w:type="dxa" w:w="100"/>
            </w:tcMar>
          </w:tcPr>
          <w:p>
            <w:r>
              <w:rPr>
                <w:b/>
                <w:bCs/>
                <w:color w:val="FFFFFF"/>
                <w:sz w:val="19"/>
                <w:szCs w:val="19"/>
              </w:rPr>
              <w:t xml:space="preserve">Pacote</w:t>
            </w:r>
          </w:p>
        </w:tc>
        <w:tc>
          <w:tcPr>
            <w:tcW w:type="dxa" w:w="6150"/>
            <w:shd w:fill="16273F" w:val="clear"/>
            <w:tcMar>
              <w:top w:type="dxa" w:w="60"/>
              <w:left w:type="dxa" w:w="100"/>
              <w:bottom w:type="dxa" w:w="60"/>
              <w:right w:type="dxa" w:w="100"/>
            </w:tcMar>
          </w:tcPr>
          <w:p>
            <w:r>
              <w:rPr>
                <w:b/>
                <w:bCs/>
                <w:color w:val="FFFFFF"/>
                <w:sz w:val="19"/>
                <w:szCs w:val="19"/>
              </w:rPr>
              <w:t xml:space="preserve">Para que serve</w:t>
            </w:r>
          </w:p>
        </w:tc>
      </w:tr>
      <w:tr>
        <w:tc>
          <w:tcPr>
            <w:tcW w:type="dxa" w:w="3200"/>
            <w:tcMar>
              <w:top w:type="dxa" w:w="60"/>
              <w:left w:type="dxa" w:w="100"/>
              <w:bottom w:type="dxa" w:w="60"/>
              <w:right w:type="dxa" w:w="100"/>
            </w:tcMar>
          </w:tcPr>
          <w:p>
            <w:r>
              <w:rPr>
                <w:b w:val="false"/>
                <w:bCs w:val="false"/>
                <w:color w:val="000000"/>
                <w:sz w:val="19"/>
                <w:szCs w:val="19"/>
              </w:rPr>
              <w:t xml:space="preserve">Flask</w:t>
            </w:r>
          </w:p>
        </w:tc>
        <w:tc>
          <w:tcPr>
            <w:tcW w:type="dxa" w:w="6150"/>
            <w:tcMar>
              <w:top w:type="dxa" w:w="60"/>
              <w:left w:type="dxa" w:w="100"/>
              <w:bottom w:type="dxa" w:w="60"/>
              <w:right w:type="dxa" w:w="100"/>
            </w:tcMar>
          </w:tcPr>
          <w:p>
            <w:r>
              <w:rPr>
                <w:b w:val="false"/>
                <w:bCs w:val="false"/>
                <w:color w:val="000000"/>
                <w:sz w:val="19"/>
                <w:szCs w:val="19"/>
              </w:rPr>
              <w:t xml:space="preserve">Framework web</w:t>
            </w:r>
          </w:p>
        </w:tc>
      </w:tr>
      <w:tr>
        <w:tc>
          <w:tcPr>
            <w:tcW w:type="dxa" w:w="3200"/>
            <w:tcMar>
              <w:top w:type="dxa" w:w="60"/>
              <w:left w:type="dxa" w:w="100"/>
              <w:bottom w:type="dxa" w:w="60"/>
              <w:right w:type="dxa" w:w="100"/>
            </w:tcMar>
          </w:tcPr>
          <w:p>
            <w:r>
              <w:rPr>
                <w:b w:val="false"/>
                <w:bCs w:val="false"/>
                <w:color w:val="000000"/>
                <w:sz w:val="19"/>
                <w:szCs w:val="19"/>
              </w:rPr>
              <w:t xml:space="preserve">Flask-SQLAlchemy / SQLAlchemy</w:t>
            </w:r>
          </w:p>
        </w:tc>
        <w:tc>
          <w:tcPr>
            <w:tcW w:type="dxa" w:w="6150"/>
            <w:tcMar>
              <w:top w:type="dxa" w:w="60"/>
              <w:left w:type="dxa" w:w="100"/>
              <w:bottom w:type="dxa" w:w="60"/>
              <w:right w:type="dxa" w:w="100"/>
            </w:tcMar>
          </w:tcPr>
          <w:p>
            <w:r>
              <w:rPr>
                <w:b w:val="false"/>
                <w:bCs w:val="false"/>
                <w:color w:val="000000"/>
                <w:sz w:val="19"/>
                <w:szCs w:val="19"/>
              </w:rPr>
              <w:t xml:space="preserve">Acesso ao banco de dados</w:t>
            </w:r>
          </w:p>
        </w:tc>
      </w:tr>
      <w:tr>
        <w:tc>
          <w:tcPr>
            <w:tcW w:type="dxa" w:w="3200"/>
            <w:tcMar>
              <w:top w:type="dxa" w:w="60"/>
              <w:left w:type="dxa" w:w="100"/>
              <w:bottom w:type="dxa" w:w="60"/>
              <w:right w:type="dxa" w:w="100"/>
            </w:tcMar>
          </w:tcPr>
          <w:p>
            <w:r>
              <w:rPr>
                <w:b w:val="false"/>
                <w:bCs w:val="false"/>
                <w:color w:val="000000"/>
                <w:sz w:val="19"/>
                <w:szCs w:val="19"/>
              </w:rPr>
              <w:t xml:space="preserve">psycopg2-binary</w:t>
            </w:r>
          </w:p>
        </w:tc>
        <w:tc>
          <w:tcPr>
            <w:tcW w:type="dxa" w:w="6150"/>
            <w:tcMar>
              <w:top w:type="dxa" w:w="60"/>
              <w:left w:type="dxa" w:w="100"/>
              <w:bottom w:type="dxa" w:w="60"/>
              <w:right w:type="dxa" w:w="100"/>
            </w:tcMar>
          </w:tcPr>
          <w:p>
            <w:r>
              <w:rPr>
                <w:b w:val="false"/>
                <w:bCs w:val="false"/>
                <w:color w:val="000000"/>
                <w:sz w:val="19"/>
                <w:szCs w:val="19"/>
              </w:rPr>
              <w:t xml:space="preserve">Driver de conexão com Postgres</w:t>
            </w:r>
          </w:p>
        </w:tc>
      </w:tr>
      <w:tr>
        <w:tc>
          <w:tcPr>
            <w:tcW w:type="dxa" w:w="3200"/>
            <w:tcMar>
              <w:top w:type="dxa" w:w="60"/>
              <w:left w:type="dxa" w:w="100"/>
              <w:bottom w:type="dxa" w:w="60"/>
              <w:right w:type="dxa" w:w="100"/>
            </w:tcMar>
          </w:tcPr>
          <w:p>
            <w:r>
              <w:rPr>
                <w:b w:val="false"/>
                <w:bCs w:val="false"/>
                <w:color w:val="000000"/>
                <w:sz w:val="19"/>
                <w:szCs w:val="19"/>
              </w:rPr>
              <w:t xml:space="preserve">python-dotenv</w:t>
            </w:r>
          </w:p>
        </w:tc>
        <w:tc>
          <w:tcPr>
            <w:tcW w:type="dxa" w:w="6150"/>
            <w:tcMar>
              <w:top w:type="dxa" w:w="60"/>
              <w:left w:type="dxa" w:w="100"/>
              <w:bottom w:type="dxa" w:w="60"/>
              <w:right w:type="dxa" w:w="100"/>
            </w:tcMar>
          </w:tcPr>
          <w:p>
            <w:r>
              <w:rPr>
                <w:b w:val="false"/>
                <w:bCs w:val="false"/>
                <w:color w:val="000000"/>
                <w:sz w:val="19"/>
                <w:szCs w:val="19"/>
              </w:rPr>
              <w:t xml:space="preserve">Carrega o arquivo .env</w:t>
            </w:r>
          </w:p>
        </w:tc>
      </w:tr>
      <w:tr>
        <w:tc>
          <w:tcPr>
            <w:tcW w:type="dxa" w:w="3200"/>
            <w:tcMar>
              <w:top w:type="dxa" w:w="60"/>
              <w:left w:type="dxa" w:w="100"/>
              <w:bottom w:type="dxa" w:w="60"/>
              <w:right w:type="dxa" w:w="100"/>
            </w:tcMar>
          </w:tcPr>
          <w:p>
            <w:r>
              <w:rPr>
                <w:b w:val="false"/>
                <w:bCs w:val="false"/>
                <w:color w:val="000000"/>
                <w:sz w:val="19"/>
                <w:szCs w:val="19"/>
              </w:rPr>
              <w:t xml:space="preserve">pandas</w:t>
            </w:r>
          </w:p>
        </w:tc>
        <w:tc>
          <w:tcPr>
            <w:tcW w:type="dxa" w:w="6150"/>
            <w:tcMar>
              <w:top w:type="dxa" w:w="60"/>
              <w:left w:type="dxa" w:w="100"/>
              <w:bottom w:type="dxa" w:w="60"/>
              <w:right w:type="dxa" w:w="100"/>
            </w:tcMar>
          </w:tcPr>
          <w:p>
            <w:r>
              <w:rPr>
                <w:b w:val="false"/>
                <w:bCs w:val="false"/>
                <w:color w:val="000000"/>
                <w:sz w:val="19"/>
                <w:szCs w:val="19"/>
              </w:rPr>
              <w:t xml:space="preserve">Leitura de planilhas na importação em lote</w:t>
            </w:r>
          </w:p>
        </w:tc>
      </w:tr>
      <w:tr>
        <w:tc>
          <w:tcPr>
            <w:tcW w:type="dxa" w:w="3200"/>
            <w:tcMar>
              <w:top w:type="dxa" w:w="60"/>
              <w:left w:type="dxa" w:w="100"/>
              <w:bottom w:type="dxa" w:w="60"/>
              <w:right w:type="dxa" w:w="100"/>
            </w:tcMar>
          </w:tcPr>
          <w:p>
            <w:r>
              <w:rPr>
                <w:b w:val="false"/>
                <w:bCs w:val="false"/>
                <w:color w:val="000000"/>
                <w:sz w:val="19"/>
                <w:szCs w:val="19"/>
              </w:rPr>
              <w:t xml:space="preserve">openpyxl</w:t>
            </w:r>
          </w:p>
        </w:tc>
        <w:tc>
          <w:tcPr>
            <w:tcW w:type="dxa" w:w="6150"/>
            <w:tcMar>
              <w:top w:type="dxa" w:w="60"/>
              <w:left w:type="dxa" w:w="100"/>
              <w:bottom w:type="dxa" w:w="60"/>
              <w:right w:type="dxa" w:w="100"/>
            </w:tcMar>
          </w:tcPr>
          <w:p>
            <w:r>
              <w:rPr>
                <w:b w:val="false"/>
                <w:bCs w:val="false"/>
                <w:color w:val="000000"/>
                <w:sz w:val="19"/>
                <w:szCs w:val="19"/>
              </w:rPr>
              <w:t xml:space="preserve">Geração dos arquivos Excel (.xlsx)</w:t>
            </w:r>
          </w:p>
        </w:tc>
      </w:tr>
      <w:tr>
        <w:tc>
          <w:tcPr>
            <w:tcW w:type="dxa" w:w="3200"/>
            <w:tcMar>
              <w:top w:type="dxa" w:w="60"/>
              <w:left w:type="dxa" w:w="100"/>
              <w:bottom w:type="dxa" w:w="60"/>
              <w:right w:type="dxa" w:w="100"/>
            </w:tcMar>
          </w:tcPr>
          <w:p>
            <w:r>
              <w:rPr>
                <w:b w:val="false"/>
                <w:bCs w:val="false"/>
                <w:color w:val="000000"/>
                <w:sz w:val="19"/>
                <w:szCs w:val="19"/>
              </w:rPr>
              <w:t xml:space="preserve">reportlab</w:t>
            </w:r>
          </w:p>
        </w:tc>
        <w:tc>
          <w:tcPr>
            <w:tcW w:type="dxa" w:w="6150"/>
            <w:tcMar>
              <w:top w:type="dxa" w:w="60"/>
              <w:left w:type="dxa" w:w="100"/>
              <w:bottom w:type="dxa" w:w="60"/>
              <w:right w:type="dxa" w:w="100"/>
            </w:tcMar>
          </w:tcPr>
          <w:p>
            <w:r>
              <w:rPr>
                <w:b w:val="false"/>
                <w:bCs w:val="false"/>
                <w:color w:val="000000"/>
                <w:sz w:val="19"/>
                <w:szCs w:val="19"/>
              </w:rPr>
              <w:t xml:space="preserve">Geração dos arquivos PDF</w:t>
            </w:r>
          </w:p>
        </w:tc>
      </w:tr>
    </w:tbl>
    <w:p>
      <w:pPr>
        <w:pStyle w:val="Heading1"/>
        <w:spacing w:after="150" w:before="300"/>
      </w:pPr>
      <w:r>
        <w:t xml:space="preserve">4. Configuração do banco de dados (Supabase)</w:t>
      </w:r>
    </w:p>
    <w:p>
      <w:pPr>
        <w:spacing w:after="80"/>
      </w:pPr>
      <w:r>
        <w:t xml:space="preserve">1. Crie um projeto em supabase.com.</w:t>
      </w:r>
    </w:p>
    <w:p>
      <w:pPr>
        <w:spacing w:after="80"/>
      </w:pPr>
      <w:r>
        <w:t xml:space="preserve">2. Vá em SQL Editor e rode os scripts da pasta sql/, nesta ordem (cada um depende do anterior):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50"/>
      </w:tblGrid>
      <w:tr>
        <w:tc>
          <w:tcPr>
            <w:tcW w:type="dxa" w:w="900"/>
            <w:shd w:fill="16273F" w:val="clear"/>
            <w:tcMar>
              <w:top w:type="dxa" w:w="60"/>
              <w:left w:type="dxa" w:w="100"/>
              <w:bottom w:type="dxa" w:w="60"/>
              <w:right w:type="dxa" w:w="100"/>
            </w:tcMar>
          </w:tcPr>
          <w:p>
            <w:r>
              <w:rPr>
                <w:b/>
                <w:bCs/>
                <w:color w:val="FFFFFF"/>
                <w:sz w:val="19"/>
                <w:szCs w:val="19"/>
              </w:rPr>
              <w:t xml:space="preserve">Ordem</w:t>
            </w:r>
          </w:p>
        </w:tc>
        <w:tc>
          <w:tcPr>
            <w:tcW w:type="dxa" w:w="3400"/>
            <w:shd w:fill="16273F" w:val="clear"/>
            <w:tcMar>
              <w:top w:type="dxa" w:w="60"/>
              <w:left w:type="dxa" w:w="100"/>
              <w:bottom w:type="dxa" w:w="60"/>
              <w:right w:type="dxa" w:w="100"/>
            </w:tcMar>
          </w:tcPr>
          <w:p>
            <w:r>
              <w:rPr>
                <w:b/>
                <w:bCs/>
                <w:color w:val="FFFFFF"/>
                <w:sz w:val="19"/>
                <w:szCs w:val="19"/>
              </w:rPr>
              <w:t xml:space="preserve">Arquivo</w:t>
            </w:r>
          </w:p>
        </w:tc>
        <w:tc>
          <w:tcPr>
            <w:tcW w:type="dxa" w:w="5050"/>
            <w:shd w:fill="16273F" w:val="clear"/>
            <w:tcMar>
              <w:top w:type="dxa" w:w="60"/>
              <w:left w:type="dxa" w:w="100"/>
              <w:bottom w:type="dxa" w:w="60"/>
              <w:right w:type="dxa" w:w="100"/>
            </w:tcMar>
          </w:tcPr>
          <w:p>
            <w:r>
              <w:rPr>
                <w:b/>
                <w:bCs/>
                <w:color w:val="FFFFFF"/>
                <w:sz w:val="19"/>
                <w:szCs w:val="19"/>
              </w:rPr>
              <w:t xml:space="preserve">O que faz</w:t>
            </w:r>
          </w:p>
        </w:tc>
      </w:tr>
      <w:tr>
        <w:tc>
          <w:tcPr>
            <w:tcW w:type="dxa" w:w="900"/>
            <w:tcMar>
              <w:top w:type="dxa" w:w="60"/>
              <w:left w:type="dxa" w:w="100"/>
              <w:bottom w:type="dxa" w:w="60"/>
              <w:right w:type="dxa" w:w="100"/>
            </w:tcMar>
          </w:tcPr>
          <w:p>
            <w:r>
              <w:rPr>
                <w:b w:val="false"/>
                <w:bCs w:val="false"/>
                <w:color w:val="000000"/>
                <w:sz w:val="19"/>
                <w:szCs w:val="19"/>
              </w:rPr>
              <w:t xml:space="preserve">1</w:t>
            </w:r>
          </w:p>
        </w:tc>
        <w:tc>
          <w:tcPr>
            <w:tcW w:type="dxa" w:w="3400"/>
            <w:tcMar>
              <w:top w:type="dxa" w:w="60"/>
              <w:left w:type="dxa" w:w="100"/>
              <w:bottom w:type="dxa" w:w="60"/>
              <w:right w:type="dxa" w:w="100"/>
            </w:tcMar>
          </w:tcPr>
          <w:p>
            <w:r>
              <w:rPr>
                <w:b w:val="false"/>
                <w:bCs w:val="false"/>
                <w:color w:val="000000"/>
                <w:sz w:val="19"/>
                <w:szCs w:val="19"/>
              </w:rPr>
              <w:t xml:space="preserve">001_schema.sql</w:t>
            </w:r>
          </w:p>
        </w:tc>
        <w:tc>
          <w:tcPr>
            <w:tcW w:type="dxa" w:w="5050"/>
            <w:tcMar>
              <w:top w:type="dxa" w:w="60"/>
              <w:left w:type="dxa" w:w="100"/>
              <w:bottom w:type="dxa" w:w="60"/>
              <w:right w:type="dxa" w:w="100"/>
            </w:tcMar>
          </w:tcPr>
          <w:p>
            <w:r>
              <w:rPr>
                <w:b w:val="false"/>
                <w:bCs w:val="false"/>
                <w:color w:val="000000"/>
                <w:sz w:val="19"/>
                <w:szCs w:val="19"/>
              </w:rPr>
              <w:t xml:space="preserve">Cria todas as tabelas do banco</w:t>
            </w:r>
          </w:p>
        </w:tc>
      </w:tr>
      <w:tr>
        <w:tc>
          <w:tcPr>
            <w:tcW w:type="dxa" w:w="900"/>
            <w:tcMar>
              <w:top w:type="dxa" w:w="60"/>
              <w:left w:type="dxa" w:w="100"/>
              <w:bottom w:type="dxa" w:w="60"/>
              <w:right w:type="dxa" w:w="100"/>
            </w:tcMar>
          </w:tcPr>
          <w:p>
            <w:r>
              <w:rPr>
                <w:b w:val="false"/>
                <w:bCs w:val="false"/>
                <w:color w:val="000000"/>
                <w:sz w:val="19"/>
                <w:szCs w:val="19"/>
              </w:rPr>
              <w:t xml:space="preserve">2</w:t>
            </w:r>
          </w:p>
        </w:tc>
        <w:tc>
          <w:tcPr>
            <w:tcW w:type="dxa" w:w="3400"/>
            <w:tcMar>
              <w:top w:type="dxa" w:w="60"/>
              <w:left w:type="dxa" w:w="100"/>
              <w:bottom w:type="dxa" w:w="60"/>
              <w:right w:type="dxa" w:w="100"/>
            </w:tcMar>
          </w:tcPr>
          <w:p>
            <w:r>
              <w:rPr>
                <w:b w:val="false"/>
                <w:bCs w:val="false"/>
                <w:color w:val="000000"/>
                <w:sz w:val="19"/>
                <w:szCs w:val="19"/>
              </w:rPr>
              <w:t xml:space="preserve">002_seed_fatores.sql</w:t>
            </w:r>
          </w:p>
        </w:tc>
        <w:tc>
          <w:tcPr>
            <w:tcW w:type="dxa" w:w="5050"/>
            <w:tcMar>
              <w:top w:type="dxa" w:w="60"/>
              <w:left w:type="dxa" w:w="100"/>
              <w:bottom w:type="dxa" w:w="60"/>
              <w:right w:type="dxa" w:w="100"/>
            </w:tcMar>
          </w:tcPr>
          <w:p>
            <w:r>
              <w:rPr>
                <w:b w:val="false"/>
                <w:bCs w:val="false"/>
                <w:color w:val="000000"/>
                <w:sz w:val="19"/>
                <w:szCs w:val="19"/>
              </w:rPr>
              <w:t xml:space="preserve">Cadastra os 3 formulários (Empregado, Gestor, Superintendente) e seus fatores oficiais</w:t>
            </w:r>
          </w:p>
        </w:tc>
      </w:tr>
      <w:tr>
        <w:tc>
          <w:tcPr>
            <w:tcW w:type="dxa" w:w="900"/>
            <w:tcMar>
              <w:top w:type="dxa" w:w="60"/>
              <w:left w:type="dxa" w:w="100"/>
              <w:bottom w:type="dxa" w:w="60"/>
              <w:right w:type="dxa" w:w="100"/>
            </w:tcMar>
          </w:tcPr>
          <w:p>
            <w:r>
              <w:rPr>
                <w:b w:val="false"/>
                <w:bCs w:val="false"/>
                <w:color w:val="000000"/>
                <w:sz w:val="19"/>
                <w:szCs w:val="19"/>
              </w:rPr>
              <w:t xml:space="preserve">3</w:t>
            </w:r>
          </w:p>
        </w:tc>
        <w:tc>
          <w:tcPr>
            <w:tcW w:type="dxa" w:w="3400"/>
            <w:tcMar>
              <w:top w:type="dxa" w:w="60"/>
              <w:left w:type="dxa" w:w="100"/>
              <w:bottom w:type="dxa" w:w="60"/>
              <w:right w:type="dxa" w:w="100"/>
            </w:tcMar>
          </w:tcPr>
          <w:p>
            <w:r>
              <w:rPr>
                <w:b w:val="false"/>
                <w:bCs w:val="false"/>
                <w:color w:val="000000"/>
                <w:sz w:val="19"/>
                <w:szCs w:val="19"/>
              </w:rPr>
              <w:t xml:space="preserve">003_setores.sql</w:t>
            </w:r>
          </w:p>
        </w:tc>
        <w:tc>
          <w:tcPr>
            <w:tcW w:type="dxa" w:w="5050"/>
            <w:tcMar>
              <w:top w:type="dxa" w:w="60"/>
              <w:left w:type="dxa" w:w="100"/>
              <w:bottom w:type="dxa" w:w="60"/>
              <w:right w:type="dxa" w:w="100"/>
            </w:tcMar>
          </w:tcPr>
          <w:p>
            <w:r>
              <w:rPr>
                <w:b w:val="false"/>
                <w:bCs w:val="false"/>
                <w:color w:val="000000"/>
                <w:sz w:val="19"/>
                <w:szCs w:val="19"/>
              </w:rPr>
              <w:t xml:space="preserve">Cria a tabela de setores/departamentos</w:t>
            </w:r>
          </w:p>
        </w:tc>
      </w:tr>
      <w:tr>
        <w:tc>
          <w:tcPr>
            <w:tcW w:type="dxa" w:w="900"/>
            <w:tcMar>
              <w:top w:type="dxa" w:w="60"/>
              <w:left w:type="dxa" w:w="100"/>
              <w:bottom w:type="dxa" w:w="60"/>
              <w:right w:type="dxa" w:w="100"/>
            </w:tcMar>
          </w:tcPr>
          <w:p>
            <w:r>
              <w:rPr>
                <w:b w:val="false"/>
                <w:bCs w:val="false"/>
                <w:color w:val="000000"/>
                <w:sz w:val="19"/>
                <w:szCs w:val="19"/>
              </w:rPr>
              <w:t xml:space="preserve">4</w:t>
            </w:r>
          </w:p>
        </w:tc>
        <w:tc>
          <w:tcPr>
            <w:tcW w:type="dxa" w:w="3400"/>
            <w:tcMar>
              <w:top w:type="dxa" w:w="60"/>
              <w:left w:type="dxa" w:w="100"/>
              <w:bottom w:type="dxa" w:w="60"/>
              <w:right w:type="dxa" w:w="100"/>
            </w:tcMar>
          </w:tcPr>
          <w:p>
            <w:r>
              <w:rPr>
                <w:b w:val="false"/>
                <w:bCs w:val="false"/>
                <w:color w:val="000000"/>
                <w:sz w:val="19"/>
                <w:szCs w:val="19"/>
              </w:rPr>
              <w:t xml:space="preserve">004_nivel_hierarquico.sql</w:t>
            </w:r>
          </w:p>
        </w:tc>
        <w:tc>
          <w:tcPr>
            <w:tcW w:type="dxa" w:w="5050"/>
            <w:tcMar>
              <w:top w:type="dxa" w:w="60"/>
              <w:left w:type="dxa" w:w="100"/>
              <w:bottom w:type="dxa" w:w="60"/>
              <w:right w:type="dxa" w:w="100"/>
            </w:tcMar>
          </w:tcPr>
          <w:p>
            <w:r>
              <w:rPr>
                <w:b w:val="false"/>
                <w:bCs w:val="false"/>
                <w:color w:val="000000"/>
                <w:sz w:val="19"/>
                <w:szCs w:val="19"/>
              </w:rPr>
              <w:t xml:space="preserve">Adiciona o nível hierárquico ao funcionário</w:t>
            </w:r>
          </w:p>
        </w:tc>
      </w:tr>
      <w:tr>
        <w:tc>
          <w:tcPr>
            <w:tcW w:type="dxa" w:w="900"/>
            <w:tcMar>
              <w:top w:type="dxa" w:w="60"/>
              <w:left w:type="dxa" w:w="100"/>
              <w:bottom w:type="dxa" w:w="60"/>
              <w:right w:type="dxa" w:w="100"/>
            </w:tcMar>
          </w:tcPr>
          <w:p>
            <w:r>
              <w:rPr>
                <w:b w:val="false"/>
                <w:bCs w:val="false"/>
                <w:color w:val="000000"/>
                <w:sz w:val="19"/>
                <w:szCs w:val="19"/>
              </w:rPr>
              <w:t xml:space="preserve">5</w:t>
            </w:r>
          </w:p>
        </w:tc>
        <w:tc>
          <w:tcPr>
            <w:tcW w:type="dxa" w:w="3400"/>
            <w:tcMar>
              <w:top w:type="dxa" w:w="60"/>
              <w:left w:type="dxa" w:w="100"/>
              <w:bottom w:type="dxa" w:w="60"/>
              <w:right w:type="dxa" w:w="100"/>
            </w:tcMar>
          </w:tcPr>
          <w:p>
            <w:r>
              <w:rPr>
                <w:b w:val="false"/>
                <w:bCs w:val="false"/>
                <w:color w:val="000000"/>
                <w:sz w:val="19"/>
                <w:szCs w:val="19"/>
              </w:rPr>
              <w:t xml:space="preserve">005_dados_pessoais.sql</w:t>
            </w:r>
          </w:p>
        </w:tc>
        <w:tc>
          <w:tcPr>
            <w:tcW w:type="dxa" w:w="5050"/>
            <w:tcMar>
              <w:top w:type="dxa" w:w="60"/>
              <w:left w:type="dxa" w:w="100"/>
              <w:bottom w:type="dxa" w:w="60"/>
              <w:right w:type="dxa" w:w="100"/>
            </w:tcMar>
          </w:tcPr>
          <w:p>
            <w:r>
              <w:rPr>
                <w:b w:val="false"/>
                <w:bCs w:val="false"/>
                <w:color w:val="000000"/>
                <w:sz w:val="19"/>
                <w:szCs w:val="19"/>
              </w:rPr>
              <w:t xml:space="preserve">Adiciona CPF, nascimento, sexo e salário</w:t>
            </w:r>
          </w:p>
        </w:tc>
      </w:tr>
      <w:tr>
        <w:tc>
          <w:tcPr>
            <w:tcW w:type="dxa" w:w="900"/>
            <w:tcMar>
              <w:top w:type="dxa" w:w="60"/>
              <w:left w:type="dxa" w:w="100"/>
              <w:bottom w:type="dxa" w:w="60"/>
              <w:right w:type="dxa" w:w="100"/>
            </w:tcMar>
          </w:tcPr>
          <w:p>
            <w:r>
              <w:rPr>
                <w:b w:val="false"/>
                <w:bCs w:val="false"/>
                <w:color w:val="000000"/>
                <w:sz w:val="19"/>
                <w:szCs w:val="19"/>
              </w:rPr>
              <w:t xml:space="preserve">6</w:t>
            </w:r>
          </w:p>
        </w:tc>
        <w:tc>
          <w:tcPr>
            <w:tcW w:type="dxa" w:w="3400"/>
            <w:tcMar>
              <w:top w:type="dxa" w:w="60"/>
              <w:left w:type="dxa" w:w="100"/>
              <w:bottom w:type="dxa" w:w="60"/>
              <w:right w:type="dxa" w:w="100"/>
            </w:tcMar>
          </w:tcPr>
          <w:p>
            <w:r>
              <w:rPr>
                <w:b w:val="false"/>
                <w:bCs w:val="false"/>
                <w:color w:val="000000"/>
                <w:sz w:val="19"/>
                <w:szCs w:val="19"/>
              </w:rPr>
              <w:t xml:space="preserve">006_data_admissao.sql</w:t>
            </w:r>
          </w:p>
        </w:tc>
        <w:tc>
          <w:tcPr>
            <w:tcW w:type="dxa" w:w="5050"/>
            <w:tcMar>
              <w:top w:type="dxa" w:w="60"/>
              <w:left w:type="dxa" w:w="100"/>
              <w:bottom w:type="dxa" w:w="60"/>
              <w:right w:type="dxa" w:w="100"/>
            </w:tcMar>
          </w:tcPr>
          <w:p>
            <w:r>
              <w:rPr>
                <w:b w:val="false"/>
                <w:bCs w:val="false"/>
                <w:color w:val="000000"/>
                <w:sz w:val="19"/>
                <w:szCs w:val="19"/>
              </w:rPr>
              <w:t xml:space="preserve">Adiciona a data de admissão</w:t>
            </w:r>
          </w:p>
        </w:tc>
      </w:tr>
      <w:tr>
        <w:tc>
          <w:tcPr>
            <w:tcW w:type="dxa" w:w="900"/>
            <w:tcMar>
              <w:top w:type="dxa" w:w="60"/>
              <w:left w:type="dxa" w:w="100"/>
              <w:bottom w:type="dxa" w:w="60"/>
              <w:right w:type="dxa" w:w="100"/>
            </w:tcMar>
          </w:tcPr>
          <w:p>
            <w:r>
              <w:rPr>
                <w:b w:val="false"/>
                <w:bCs w:val="false"/>
                <w:color w:val="000000"/>
                <w:sz w:val="19"/>
                <w:szCs w:val="19"/>
              </w:rPr>
              <w:t xml:space="preserve">7</w:t>
            </w:r>
          </w:p>
        </w:tc>
        <w:tc>
          <w:tcPr>
            <w:tcW w:type="dxa" w:w="3400"/>
            <w:tcMar>
              <w:top w:type="dxa" w:w="60"/>
              <w:left w:type="dxa" w:w="100"/>
              <w:bottom w:type="dxa" w:w="60"/>
              <w:right w:type="dxa" w:w="100"/>
            </w:tcMar>
          </w:tcPr>
          <w:p>
            <w:r>
              <w:rPr>
                <w:b w:val="false"/>
                <w:bCs w:val="false"/>
                <w:color w:val="000000"/>
                <w:sz w:val="19"/>
                <w:szCs w:val="19"/>
              </w:rPr>
              <w:t xml:space="preserve">007_elegibilidade_avaliacao.sql</w:t>
            </w:r>
          </w:p>
        </w:tc>
        <w:tc>
          <w:tcPr>
            <w:tcW w:type="dxa" w:w="5050"/>
            <w:tcMar>
              <w:top w:type="dxa" w:w="60"/>
              <w:left w:type="dxa" w:w="100"/>
              <w:bottom w:type="dxa" w:w="60"/>
              <w:right w:type="dxa" w:w="100"/>
            </w:tcMar>
          </w:tcPr>
          <w:p>
            <w:r>
              <w:rPr>
                <w:b w:val="false"/>
                <w:bCs w:val="false"/>
                <w:color w:val="000000"/>
                <w:sz w:val="19"/>
                <w:szCs w:val="19"/>
              </w:rPr>
              <w:t xml:space="preserve">Permite marcar manualmente se alguém participa ou não do ciclo</w:t>
            </w:r>
          </w:p>
        </w:tc>
      </w:tr>
      <w:tr>
        <w:tc>
          <w:tcPr>
            <w:tcW w:type="dxa" w:w="900"/>
            <w:tcMar>
              <w:top w:type="dxa" w:w="60"/>
              <w:left w:type="dxa" w:w="100"/>
              <w:bottom w:type="dxa" w:w="60"/>
              <w:right w:type="dxa" w:w="100"/>
            </w:tcMar>
          </w:tcPr>
          <w:p>
            <w:r>
              <w:rPr>
                <w:b w:val="false"/>
                <w:bCs w:val="false"/>
                <w:color w:val="000000"/>
                <w:sz w:val="19"/>
                <w:szCs w:val="19"/>
              </w:rPr>
              <w:t xml:space="preserve">8</w:t>
            </w:r>
          </w:p>
        </w:tc>
        <w:tc>
          <w:tcPr>
            <w:tcW w:type="dxa" w:w="3400"/>
            <w:tcMar>
              <w:top w:type="dxa" w:w="60"/>
              <w:left w:type="dxa" w:w="100"/>
              <w:bottom w:type="dxa" w:w="60"/>
              <w:right w:type="dxa" w:w="100"/>
            </w:tcMar>
          </w:tcPr>
          <w:p>
            <w:r>
              <w:rPr>
                <w:b w:val="false"/>
                <w:bCs w:val="false"/>
                <w:color w:val="000000"/>
                <w:sz w:val="19"/>
                <w:szCs w:val="19"/>
              </w:rPr>
              <w:t xml:space="preserve">008_nivel_hierarquico_define_formulario.sql</w:t>
            </w:r>
          </w:p>
        </w:tc>
        <w:tc>
          <w:tcPr>
            <w:tcW w:type="dxa" w:w="5050"/>
            <w:tcMar>
              <w:top w:type="dxa" w:w="60"/>
              <w:left w:type="dxa" w:w="100"/>
              <w:bottom w:type="dxa" w:w="60"/>
              <w:right w:type="dxa" w:w="100"/>
            </w:tcMar>
          </w:tcPr>
          <w:p>
            <w:r>
              <w:rPr>
                <w:b w:val="false"/>
                <w:bCs w:val="false"/>
                <w:color w:val="000000"/>
                <w:sz w:val="19"/>
                <w:szCs w:val="19"/>
              </w:rPr>
              <w:t xml:space="preserve">Separa "cargo real" de "nível hierárquico"</w:t>
            </w:r>
          </w:p>
        </w:tc>
      </w:tr>
      <w:tr>
        <w:tc>
          <w:tcPr>
            <w:tcW w:type="dxa" w:w="900"/>
            <w:tcMar>
              <w:top w:type="dxa" w:w="60"/>
              <w:left w:type="dxa" w:w="100"/>
              <w:bottom w:type="dxa" w:w="60"/>
              <w:right w:type="dxa" w:w="100"/>
            </w:tcMar>
          </w:tcPr>
          <w:p>
            <w:r>
              <w:rPr>
                <w:b w:val="false"/>
                <w:bCs w:val="false"/>
                <w:color w:val="000000"/>
                <w:sz w:val="19"/>
                <w:szCs w:val="19"/>
              </w:rPr>
              <w:t xml:space="preserve">9</w:t>
            </w:r>
          </w:p>
        </w:tc>
        <w:tc>
          <w:tcPr>
            <w:tcW w:type="dxa" w:w="3400"/>
            <w:tcMar>
              <w:top w:type="dxa" w:w="60"/>
              <w:left w:type="dxa" w:w="100"/>
              <w:bottom w:type="dxa" w:w="60"/>
              <w:right w:type="dxa" w:w="100"/>
            </w:tcMar>
          </w:tcPr>
          <w:p>
            <w:r>
              <w:rPr>
                <w:b w:val="false"/>
                <w:bCs w:val="false"/>
                <w:color w:val="000000"/>
                <w:sz w:val="19"/>
                <w:szCs w:val="19"/>
              </w:rPr>
              <w:t xml:space="preserve">009_login_funcionario.sql</w:t>
            </w:r>
          </w:p>
        </w:tc>
        <w:tc>
          <w:tcPr>
            <w:tcW w:type="dxa" w:w="5050"/>
            <w:tcMar>
              <w:top w:type="dxa" w:w="60"/>
              <w:left w:type="dxa" w:w="100"/>
              <w:bottom w:type="dxa" w:w="60"/>
              <w:right w:type="dxa" w:w="100"/>
            </w:tcMar>
          </w:tcPr>
          <w:p>
            <w:r>
              <w:rPr>
                <w:b w:val="false"/>
                <w:bCs w:val="false"/>
                <w:color w:val="000000"/>
                <w:sz w:val="19"/>
                <w:szCs w:val="19"/>
              </w:rPr>
              <w:t xml:space="preserve">Login individual (e-mail + senha)</w:t>
            </w:r>
          </w:p>
        </w:tc>
      </w:tr>
      <w:tr>
        <w:tc>
          <w:tcPr>
            <w:tcW w:type="dxa" w:w="900"/>
            <w:tcMar>
              <w:top w:type="dxa" w:w="60"/>
              <w:left w:type="dxa" w:w="100"/>
              <w:bottom w:type="dxa" w:w="60"/>
              <w:right w:type="dxa" w:w="100"/>
            </w:tcMar>
          </w:tcPr>
          <w:p>
            <w:r>
              <w:rPr>
                <w:b w:val="false"/>
                <w:bCs w:val="false"/>
                <w:color w:val="000000"/>
                <w:sz w:val="19"/>
                <w:szCs w:val="19"/>
              </w:rPr>
              <w:t xml:space="preserve">10</w:t>
            </w:r>
          </w:p>
        </w:tc>
        <w:tc>
          <w:tcPr>
            <w:tcW w:type="dxa" w:w="3400"/>
            <w:tcMar>
              <w:top w:type="dxa" w:w="60"/>
              <w:left w:type="dxa" w:w="100"/>
              <w:bottom w:type="dxa" w:w="60"/>
              <w:right w:type="dxa" w:w="100"/>
            </w:tcMar>
          </w:tcPr>
          <w:p>
            <w:r>
              <w:rPr>
                <w:b w:val="false"/>
                <w:bCs w:val="false"/>
                <w:color w:val="000000"/>
                <w:sz w:val="19"/>
                <w:szCs w:val="19"/>
              </w:rPr>
              <w:t xml:space="preserve">010_prazos_avaliacao.sql</w:t>
            </w:r>
          </w:p>
        </w:tc>
        <w:tc>
          <w:tcPr>
            <w:tcW w:type="dxa" w:w="5050"/>
            <w:tcMar>
              <w:top w:type="dxa" w:w="60"/>
              <w:left w:type="dxa" w:w="100"/>
              <w:bottom w:type="dxa" w:w="60"/>
              <w:right w:type="dxa" w:w="100"/>
            </w:tcMar>
          </w:tcPr>
          <w:p>
            <w:r>
              <w:rPr>
                <w:b w:val="false"/>
                <w:bCs w:val="false"/>
                <w:color w:val="000000"/>
                <w:sz w:val="19"/>
                <w:szCs w:val="19"/>
              </w:rPr>
              <w:t xml:space="preserve">Prazos separados para autoavaliação e avaliação do gestor</w:t>
            </w:r>
          </w:p>
        </w:tc>
      </w:tr>
      <w:tr>
        <w:tc>
          <w:tcPr>
            <w:tcW w:type="dxa" w:w="900"/>
            <w:tcMar>
              <w:top w:type="dxa" w:w="60"/>
              <w:left w:type="dxa" w:w="100"/>
              <w:bottom w:type="dxa" w:w="60"/>
              <w:right w:type="dxa" w:w="100"/>
            </w:tcMar>
          </w:tcPr>
          <w:p>
            <w:r>
              <w:rPr>
                <w:b w:val="false"/>
                <w:bCs w:val="false"/>
                <w:color w:val="000000"/>
                <w:sz w:val="19"/>
                <w:szCs w:val="19"/>
              </w:rPr>
              <w:t xml:space="preserve">11</w:t>
            </w:r>
          </w:p>
        </w:tc>
        <w:tc>
          <w:tcPr>
            <w:tcW w:type="dxa" w:w="3400"/>
            <w:tcMar>
              <w:top w:type="dxa" w:w="60"/>
              <w:left w:type="dxa" w:w="100"/>
              <w:bottom w:type="dxa" w:w="60"/>
              <w:right w:type="dxa" w:w="100"/>
            </w:tcMar>
          </w:tcPr>
          <w:p>
            <w:r>
              <w:rPr>
                <w:b w:val="false"/>
                <w:bCs w:val="false"/>
                <w:color w:val="000000"/>
                <w:sz w:val="19"/>
                <w:szCs w:val="19"/>
              </w:rPr>
              <w:t xml:space="preserve">011_resultados_finais.sql</w:t>
            </w:r>
          </w:p>
        </w:tc>
        <w:tc>
          <w:tcPr>
            <w:tcW w:type="dxa" w:w="5050"/>
            <w:tcMar>
              <w:top w:type="dxa" w:w="60"/>
              <w:left w:type="dxa" w:w="100"/>
              <w:bottom w:type="dxa" w:w="60"/>
              <w:right w:type="dxa" w:w="100"/>
            </w:tcMar>
          </w:tcPr>
          <w:p>
            <w:r>
              <w:rPr>
                <w:b w:val="false"/>
                <w:bCs w:val="false"/>
                <w:color w:val="000000"/>
                <w:sz w:val="19"/>
                <w:szCs w:val="19"/>
              </w:rPr>
              <w:t xml:space="preserve">Controle de liberação do resultado final</w:t>
            </w:r>
          </w:p>
        </w:tc>
      </w:tr>
      <w:tr>
        <w:tc>
          <w:tcPr>
            <w:tcW w:type="dxa" w:w="900"/>
            <w:tcMar>
              <w:top w:type="dxa" w:w="60"/>
              <w:left w:type="dxa" w:w="100"/>
              <w:bottom w:type="dxa" w:w="60"/>
              <w:right w:type="dxa" w:w="100"/>
            </w:tcMar>
          </w:tcPr>
          <w:p>
            <w:r>
              <w:rPr>
                <w:b w:val="false"/>
                <w:bCs w:val="false"/>
                <w:color w:val="000000"/>
                <w:sz w:val="19"/>
                <w:szCs w:val="19"/>
              </w:rPr>
              <w:t xml:space="preserve">12</w:t>
            </w:r>
          </w:p>
        </w:tc>
        <w:tc>
          <w:tcPr>
            <w:tcW w:type="dxa" w:w="3400"/>
            <w:tcMar>
              <w:top w:type="dxa" w:w="60"/>
              <w:left w:type="dxa" w:w="100"/>
              <w:bottom w:type="dxa" w:w="60"/>
              <w:right w:type="dxa" w:w="100"/>
            </w:tcMar>
          </w:tcPr>
          <w:p>
            <w:r>
              <w:rPr>
                <w:b w:val="false"/>
                <w:bCs w:val="false"/>
                <w:color w:val="000000"/>
                <w:sz w:val="19"/>
                <w:szCs w:val="19"/>
              </w:rPr>
              <w:t xml:space="preserve">012_recursos.sql</w:t>
            </w:r>
          </w:p>
        </w:tc>
        <w:tc>
          <w:tcPr>
            <w:tcW w:type="dxa" w:w="5050"/>
            <w:tcMar>
              <w:top w:type="dxa" w:w="60"/>
              <w:left w:type="dxa" w:w="100"/>
              <w:bottom w:type="dxa" w:w="60"/>
              <w:right w:type="dxa" w:w="100"/>
            </w:tcMar>
          </w:tcPr>
          <w:p>
            <w:r>
              <w:rPr>
                <w:b w:val="false"/>
                <w:bCs w:val="false"/>
                <w:color w:val="000000"/>
                <w:sz w:val="19"/>
                <w:szCs w:val="19"/>
              </w:rPr>
              <w:t xml:space="preserve">Fluxo de recursos (contestação de nota)</w:t>
            </w:r>
          </w:p>
        </w:tc>
      </w:tr>
      <w:tr>
        <w:tc>
          <w:tcPr>
            <w:tcW w:type="dxa" w:w="900"/>
            <w:tcMar>
              <w:top w:type="dxa" w:w="60"/>
              <w:left w:type="dxa" w:w="100"/>
              <w:bottom w:type="dxa" w:w="60"/>
              <w:right w:type="dxa" w:w="100"/>
            </w:tcMar>
          </w:tcPr>
          <w:p>
            <w:r>
              <w:rPr>
                <w:b w:val="false"/>
                <w:bCs w:val="false"/>
                <w:color w:val="000000"/>
                <w:sz w:val="19"/>
                <w:szCs w:val="19"/>
              </w:rPr>
              <w:t xml:space="preserve">13</w:t>
            </w:r>
          </w:p>
        </w:tc>
        <w:tc>
          <w:tcPr>
            <w:tcW w:type="dxa" w:w="3400"/>
            <w:tcMar>
              <w:top w:type="dxa" w:w="60"/>
              <w:left w:type="dxa" w:w="100"/>
              <w:bottom w:type="dxa" w:w="60"/>
              <w:right w:type="dxa" w:w="100"/>
            </w:tcMar>
          </w:tcPr>
          <w:p>
            <w:r>
              <w:rPr>
                <w:b w:val="false"/>
                <w:bCs w:val="false"/>
                <w:color w:val="000000"/>
                <w:sz w:val="19"/>
                <w:szCs w:val="19"/>
              </w:rPr>
              <w:t xml:space="preserve">013_recurso_comissao_inicial.sql</w:t>
            </w:r>
          </w:p>
        </w:tc>
        <w:tc>
          <w:tcPr>
            <w:tcW w:type="dxa" w:w="5050"/>
            <w:tcMar>
              <w:top w:type="dxa" w:w="60"/>
              <w:left w:type="dxa" w:w="100"/>
              <w:bottom w:type="dxa" w:w="60"/>
              <w:right w:type="dxa" w:w="100"/>
            </w:tcMar>
          </w:tcPr>
          <w:p>
            <w:r>
              <w:rPr>
                <w:b w:val="false"/>
                <w:bCs w:val="false"/>
                <w:color w:val="000000"/>
                <w:sz w:val="19"/>
                <w:szCs w:val="19"/>
              </w:rPr>
              <w:t xml:space="preserve">Ajuste do fluxo: Comissão entra logo na abertura do recurso</w:t>
            </w:r>
          </w:p>
        </w:tc>
      </w:tr>
    </w:tbl>
    <w:p>
      <w:pPr>
        <w:spacing w:after="140"/>
      </w:pPr>
      <w:r>
        <w:rPr>
          <w:i/>
          <w:iCs/>
          <w:sz w:val="19"/>
          <w:szCs w:val="19"/>
        </w:rPr>
        <w:t xml:space="preserve">Se for um banco novo, rode todos em sequência. Se for atualizar um banco já existente com uma nova versão do sistema, rode só os scripts que ainda não foram aplicados (normalmente os mais recentes).</w:t>
      </w:r>
    </w:p>
    <w:p>
      <w:pPr>
        <w:spacing w:after="80"/>
      </w:pPr>
      <w:r>
        <w:t xml:space="preserve">3. Vá em Project Settings → Database → Connection string → URI e copie a connection string (prefira o modo Session pooling).</w:t>
      </w:r>
    </w:p>
    <w:p>
      <w:pPr>
        <w:pStyle w:val="Heading1"/>
        <w:spacing w:after="150" w:before="300"/>
      </w:pPr>
      <w:r>
        <w:t xml:space="preserve">5. Variáveis de ambiente (.env)</w:t>
      </w:r>
    </w:p>
    <w:p>
      <w:pPr>
        <w:spacing w:after="140"/>
      </w:pPr>
      <w:r>
        <w:t xml:space="preserve">Copie o arquivo de exemplo e preencha com os seus dados:</w:t>
      </w:r>
    </w:p>
    <w:p>
      <w:pPr>
        <w:pBdr>
          <w:top w:val="single" w:color="CCCCCC" w:sz="2"/>
          <w:bottom w:val="single" w:color="CCCCCC" w:sz="2"/>
          <w:left w:val="single" w:color="CCCCCC" w:sz="2"/>
          <w:right w:val="single" w:color="CCCCCC" w:sz="2"/>
        </w:pBdr>
        <w:shd w:fill="F5F6F8" w:val="clear"/>
        <w:spacing w:after="200" w:before="100"/>
        <w:ind w:left="150" w:right="150"/>
      </w:pPr>
      <w:r>
        <w:rPr>
          <w:rFonts w:ascii="Consolas" w:cs="Consolas" w:eastAsia="Consolas" w:hAnsi="Consolas"/>
          <w:sz w:val="19"/>
          <w:szCs w:val="19"/>
        </w:rPr>
        <w:t xml:space="preserve">cp .env.exemplo .env</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6273F" w:val="clear"/>
            <w:tcMar>
              <w:top w:type="dxa" w:w="60"/>
              <w:left w:type="dxa" w:w="100"/>
              <w:bottom w:type="dxa" w:w="60"/>
              <w:right w:type="dxa" w:w="100"/>
            </w:tcMar>
          </w:tcPr>
          <w:p>
            <w:r>
              <w:rPr>
                <w:b/>
                <w:bCs/>
                <w:color w:val="FFFFFF"/>
                <w:sz w:val="19"/>
                <w:szCs w:val="19"/>
              </w:rPr>
              <w:t xml:space="preserve">Variável</w:t>
            </w:r>
          </w:p>
        </w:tc>
        <w:tc>
          <w:tcPr>
            <w:tcW w:type="dxa" w:w="6750"/>
            <w:shd w:fill="16273F" w:val="clear"/>
            <w:tcMar>
              <w:top w:type="dxa" w:w="60"/>
              <w:left w:type="dxa" w:w="100"/>
              <w:bottom w:type="dxa" w:w="60"/>
              <w:right w:type="dxa" w:w="100"/>
            </w:tcMar>
          </w:tcPr>
          <w:p>
            <w:r>
              <w:rPr>
                <w:b/>
                <w:bCs/>
                <w:color w:val="FFFFFF"/>
                <w:sz w:val="19"/>
                <w:szCs w:val="19"/>
              </w:rPr>
              <w:t xml:space="preserve">Descrição</w:t>
            </w:r>
          </w:p>
        </w:tc>
      </w:tr>
      <w:tr>
        <w:tc>
          <w:tcPr>
            <w:tcW w:type="dxa" w:w="2600"/>
            <w:tcMar>
              <w:top w:type="dxa" w:w="60"/>
              <w:left w:type="dxa" w:w="100"/>
              <w:bottom w:type="dxa" w:w="60"/>
              <w:right w:type="dxa" w:w="100"/>
            </w:tcMar>
          </w:tcPr>
          <w:p>
            <w:r>
              <w:rPr>
                <w:b w:val="false"/>
                <w:bCs w:val="false"/>
                <w:color w:val="000000"/>
                <w:sz w:val="19"/>
                <w:szCs w:val="19"/>
              </w:rPr>
              <w:t xml:space="preserve">DATABASE_URL</w:t>
            </w:r>
          </w:p>
        </w:tc>
        <w:tc>
          <w:tcPr>
            <w:tcW w:type="dxa" w:w="6750"/>
            <w:tcMar>
              <w:top w:type="dxa" w:w="60"/>
              <w:left w:type="dxa" w:w="100"/>
              <w:bottom w:type="dxa" w:w="60"/>
              <w:right w:type="dxa" w:w="100"/>
            </w:tcMar>
          </w:tcPr>
          <w:p>
            <w:r>
              <w:rPr>
                <w:b w:val="false"/>
                <w:bCs w:val="false"/>
                <w:color w:val="000000"/>
                <w:sz w:val="19"/>
                <w:szCs w:val="19"/>
              </w:rPr>
              <w:t xml:space="preserve">Connection string do Supabase (passo anterior)</w:t>
            </w:r>
          </w:p>
        </w:tc>
      </w:tr>
      <w:tr>
        <w:tc>
          <w:tcPr>
            <w:tcW w:type="dxa" w:w="2600"/>
            <w:tcMar>
              <w:top w:type="dxa" w:w="60"/>
              <w:left w:type="dxa" w:w="100"/>
              <w:bottom w:type="dxa" w:w="60"/>
              <w:right w:type="dxa" w:w="100"/>
            </w:tcMar>
          </w:tcPr>
          <w:p>
            <w:r>
              <w:rPr>
                <w:b w:val="false"/>
                <w:bCs w:val="false"/>
                <w:color w:val="000000"/>
                <w:sz w:val="19"/>
                <w:szCs w:val="19"/>
              </w:rPr>
              <w:t xml:space="preserve">SECRET_KEY</w:t>
            </w:r>
          </w:p>
        </w:tc>
        <w:tc>
          <w:tcPr>
            <w:tcW w:type="dxa" w:w="6750"/>
            <w:tcMar>
              <w:top w:type="dxa" w:w="60"/>
              <w:left w:type="dxa" w:w="100"/>
              <w:bottom w:type="dxa" w:w="60"/>
              <w:right w:type="dxa" w:w="100"/>
            </w:tcMar>
          </w:tcPr>
          <w:p>
            <w:r>
              <w:rPr>
                <w:b w:val="false"/>
                <w:bCs w:val="false"/>
                <w:color w:val="000000"/>
                <w:sz w:val="19"/>
                <w:szCs w:val="19"/>
              </w:rPr>
              <w:t xml:space="preserve">Chave aleatória usada pelo Flask para sessão. Gere uma string qualquer, única e secreta</w:t>
            </w:r>
          </w:p>
        </w:tc>
      </w:tr>
      <w:tr>
        <w:tc>
          <w:tcPr>
            <w:tcW w:type="dxa" w:w="2600"/>
            <w:tcMar>
              <w:top w:type="dxa" w:w="60"/>
              <w:left w:type="dxa" w:w="100"/>
              <w:bottom w:type="dxa" w:w="60"/>
              <w:right w:type="dxa" w:w="100"/>
            </w:tcMar>
          </w:tcPr>
          <w:p>
            <w:r>
              <w:rPr>
                <w:b w:val="false"/>
                <w:bCs w:val="false"/>
                <w:color w:val="000000"/>
                <w:sz w:val="19"/>
                <w:szCs w:val="19"/>
              </w:rPr>
              <w:t xml:space="preserve">ADMIN_PASSWORD</w:t>
            </w:r>
          </w:p>
        </w:tc>
        <w:tc>
          <w:tcPr>
            <w:tcW w:type="dxa" w:w="6750"/>
            <w:tcMar>
              <w:top w:type="dxa" w:w="60"/>
              <w:left w:type="dxa" w:w="100"/>
              <w:bottom w:type="dxa" w:w="60"/>
              <w:right w:type="dxa" w:w="100"/>
            </w:tcMar>
          </w:tcPr>
          <w:p>
            <w:r>
              <w:rPr>
                <w:b w:val="false"/>
                <w:bCs w:val="false"/>
                <w:color w:val="000000"/>
                <w:sz w:val="19"/>
                <w:szCs w:val="19"/>
              </w:rPr>
              <w:t xml:space="preserve">Senha de acesso à área de Administração — só o RH deve ter</w:t>
            </w:r>
          </w:p>
        </w:tc>
      </w:tr>
      <w:tr>
        <w:tc>
          <w:tcPr>
            <w:tcW w:type="dxa" w:w="2600"/>
            <w:tcMar>
              <w:top w:type="dxa" w:w="60"/>
              <w:left w:type="dxa" w:w="100"/>
              <w:bottom w:type="dxa" w:w="60"/>
              <w:right w:type="dxa" w:w="100"/>
            </w:tcMar>
          </w:tcPr>
          <w:p>
            <w:r>
              <w:rPr>
                <w:b w:val="false"/>
                <w:bCs w:val="false"/>
                <w:color w:val="000000"/>
                <w:sz w:val="19"/>
                <w:szCs w:val="19"/>
              </w:rPr>
              <w:t xml:space="preserve">COMISSAO_PASSWORD</w:t>
            </w:r>
          </w:p>
        </w:tc>
        <w:tc>
          <w:tcPr>
            <w:tcW w:type="dxa" w:w="6750"/>
            <w:tcMar>
              <w:top w:type="dxa" w:w="60"/>
              <w:left w:type="dxa" w:w="100"/>
              <w:bottom w:type="dxa" w:w="60"/>
              <w:right w:type="dxa" w:w="100"/>
            </w:tcMar>
          </w:tcPr>
          <w:p>
            <w:r>
              <w:rPr>
                <w:b w:val="false"/>
                <w:bCs w:val="false"/>
                <w:color w:val="000000"/>
                <w:sz w:val="19"/>
                <w:szCs w:val="19"/>
              </w:rPr>
              <w:t xml:space="preserve">Senha de acesso à área da Comissão de Recursos</w:t>
            </w:r>
          </w:p>
        </w:tc>
      </w:tr>
      <w:tr>
        <w:tc>
          <w:tcPr>
            <w:tcW w:type="dxa" w:w="2600"/>
            <w:tcMar>
              <w:top w:type="dxa" w:w="60"/>
              <w:left w:type="dxa" w:w="100"/>
              <w:bottom w:type="dxa" w:w="60"/>
              <w:right w:type="dxa" w:w="100"/>
            </w:tcMar>
          </w:tcPr>
          <w:p>
            <w:r>
              <w:rPr>
                <w:b w:val="false"/>
                <w:bCs w:val="false"/>
                <w:color w:val="000000"/>
                <w:sz w:val="19"/>
                <w:szCs w:val="19"/>
              </w:rPr>
              <w:t xml:space="preserve">MAIL_USERNAME</w:t>
            </w:r>
          </w:p>
        </w:tc>
        <w:tc>
          <w:tcPr>
            <w:tcW w:type="dxa" w:w="6750"/>
            <w:tcMar>
              <w:top w:type="dxa" w:w="60"/>
              <w:left w:type="dxa" w:w="100"/>
              <w:bottom w:type="dxa" w:w="60"/>
              <w:right w:type="dxa" w:w="100"/>
            </w:tcMar>
          </w:tcPr>
          <w:p>
            <w:r>
              <w:rPr>
                <w:b w:val="false"/>
                <w:bCs w:val="false"/>
                <w:color w:val="000000"/>
                <w:sz w:val="19"/>
                <w:szCs w:val="19"/>
              </w:rPr>
              <w:t xml:space="preserve">(Opcional) E-mail do Gmail usado para avisar a Comissão de recurso novo</w:t>
            </w:r>
          </w:p>
        </w:tc>
      </w:tr>
      <w:tr>
        <w:tc>
          <w:tcPr>
            <w:tcW w:type="dxa" w:w="2600"/>
            <w:tcMar>
              <w:top w:type="dxa" w:w="60"/>
              <w:left w:type="dxa" w:w="100"/>
              <w:bottom w:type="dxa" w:w="60"/>
              <w:right w:type="dxa" w:w="100"/>
            </w:tcMar>
          </w:tcPr>
          <w:p>
            <w:r>
              <w:rPr>
                <w:b w:val="false"/>
                <w:bCs w:val="false"/>
                <w:color w:val="000000"/>
                <w:sz w:val="19"/>
                <w:szCs w:val="19"/>
              </w:rPr>
              <w:t xml:space="preserve">MAIL_APP_PASSWORD</w:t>
            </w:r>
          </w:p>
        </w:tc>
        <w:tc>
          <w:tcPr>
            <w:tcW w:type="dxa" w:w="6750"/>
            <w:tcMar>
              <w:top w:type="dxa" w:w="60"/>
              <w:left w:type="dxa" w:w="100"/>
              <w:bottom w:type="dxa" w:w="60"/>
              <w:right w:type="dxa" w:w="100"/>
            </w:tcMar>
          </w:tcPr>
          <w:p>
            <w:r>
              <w:rPr>
                <w:b w:val="false"/>
                <w:bCs w:val="false"/>
                <w:color w:val="000000"/>
                <w:sz w:val="19"/>
                <w:szCs w:val="19"/>
              </w:rPr>
              <w:t xml:space="preserve">(Opcional) "Senha de app" gerada em myaccount.google.com/apppasswords — não é a senha normal da conta</w:t>
            </w:r>
          </w:p>
        </w:tc>
      </w:tr>
      <w:tr>
        <w:tc>
          <w:tcPr>
            <w:tcW w:type="dxa" w:w="2600"/>
            <w:tcMar>
              <w:top w:type="dxa" w:w="60"/>
              <w:left w:type="dxa" w:w="100"/>
              <w:bottom w:type="dxa" w:w="60"/>
              <w:right w:type="dxa" w:w="100"/>
            </w:tcMar>
          </w:tcPr>
          <w:p>
            <w:r>
              <w:rPr>
                <w:b w:val="false"/>
                <w:bCs w:val="false"/>
                <w:color w:val="000000"/>
                <w:sz w:val="19"/>
                <w:szCs w:val="19"/>
              </w:rPr>
              <w:t xml:space="preserve">FLASK_DEBUG</w:t>
            </w:r>
          </w:p>
        </w:tc>
        <w:tc>
          <w:tcPr>
            <w:tcW w:type="dxa" w:w="6750"/>
            <w:tcMar>
              <w:top w:type="dxa" w:w="60"/>
              <w:left w:type="dxa" w:w="100"/>
              <w:bottom w:type="dxa" w:w="60"/>
              <w:right w:type="dxa" w:w="100"/>
            </w:tcMar>
          </w:tcPr>
          <w:p>
            <w:r>
              <w:rPr>
                <w:b w:val="false"/>
                <w:bCs w:val="false"/>
                <w:color w:val="000000"/>
                <w:sz w:val="19"/>
                <w:szCs w:val="19"/>
              </w:rPr>
              <w:t xml:space="preserve">1 em desenvolvimento (mostra erros detalhados); deixe 0 ou remova em produção</w:t>
            </w:r>
          </w:p>
        </w:tc>
      </w:tr>
    </w:tbl>
    <w:p>
      <w:pPr>
        <w:spacing w:after="140"/>
      </w:pPr>
      <w:r>
        <w:rPr>
          <w:b/>
          <w:bCs/>
        </w:rPr>
        <w:t xml:space="preserve">Nunca commite o arquivo .env real no Git — ele deve conter senhas e credenciais. Só o .env.exemplo (com valores fictícios) vai para o repositório.</w:t>
      </w:r>
    </w:p>
    <w:p>
      <w:pPr>
        <w:pStyle w:val="Heading1"/>
        <w:spacing w:after="150" w:before="300"/>
      </w:pPr>
      <w:r>
        <w:t xml:space="preserve">6. Rodando o sistema localmente</w:t>
      </w:r>
    </w:p>
    <w:p>
      <w:pPr>
        <w:pBdr>
          <w:top w:val="single" w:color="CCCCCC" w:sz="2"/>
          <w:bottom w:val="single" w:color="CCCCCC" w:sz="2"/>
          <w:left w:val="single" w:color="CCCCCC" w:sz="2"/>
          <w:right w:val="single" w:color="CCCCCC" w:sz="2"/>
        </w:pBdr>
        <w:shd w:fill="F5F6F8" w:val="clear"/>
        <w:spacing w:after="200" w:before="100"/>
        <w:ind w:left="150" w:right="150"/>
      </w:pPr>
      <w:r>
        <w:rPr>
          <w:rFonts w:ascii="Consolas" w:cs="Consolas" w:eastAsia="Consolas" w:hAnsi="Consolas"/>
          <w:sz w:val="19"/>
          <w:szCs w:val="19"/>
        </w:rPr>
        <w:t xml:space="preserve">python run.py</w:t>
      </w:r>
    </w:p>
    <w:p>
      <w:pPr>
        <w:spacing w:after="140"/>
      </w:pPr>
      <w:r>
        <w:t xml:space="preserve">Acesse http://localhost:5000 no navegador.</w:t>
      </w:r>
    </w:p>
    <w:p>
      <w:pPr>
        <w:spacing w:after="140"/>
      </w:pPr>
      <w:r>
        <w:t xml:space="preserve">O terminal mostra os logs de cada requisição. Se algo der errado, o erro completo (traceback) aparece ali — é a primeira coisa a olhar quando um recurso "dá erro".</w:t>
      </w:r>
    </w:p>
    <w:p>
      <w:pPr>
        <w:spacing w:after="140"/>
      </w:pPr>
      <w:r>
        <w:t xml:space="preserve">Para parar o servidor: Ctrl + C.</w:t>
      </w:r>
    </w:p>
    <w:p>
      <w:pPr>
        <w:pStyle w:val="Heading1"/>
        <w:spacing w:after="150" w:before="300"/>
      </w:pPr>
      <w:r>
        <w:t xml:space="preserve">7. Cadastro inicial (setores, funcionários, vínculos, ciclo)</w:t>
      </w:r>
    </w:p>
    <w:p>
      <w:pPr>
        <w:spacing w:after="140"/>
      </w:pPr>
      <w:r>
        <w:t xml:space="preserve">Acesse a área de Administração (/admin, com a ADMIN_PASSWORD).</w:t>
      </w:r>
    </w:p>
    <w:p>
      <w:pPr>
        <w:spacing w:after="80"/>
      </w:pPr>
      <w:r>
        <w:t xml:space="preserve">1. Setores (/admin/setores) — cadastre os departamentos da empresa.</w:t>
      </w:r>
    </w:p>
    <w:p>
      <w:pPr>
        <w:spacing w:after="80"/>
      </w:pPr>
      <w:r>
        <w:t xml:space="preserve">2. Funcionários (/admin/funcionarios) — cadastre nome, cargo, setor, e-mail, matrícula e data de admissão. Duas formas: um a um pelo formulário da própria tela, ou importando planilha (.xlsx/.csv) usando o modelo em exemplos/funcionarios_exemplo.csv (colunas: nome, cargo, setor, email, matricula). O setor é criado automaticamente se ainda não existir.</w:t>
      </w:r>
    </w:p>
    <w:p>
      <w:pPr>
        <w:spacing w:after="80"/>
      </w:pPr>
      <w:r>
        <w:t xml:space="preserve">3. Vínculos (/admin/vinculos) — defina quem avalia quem. Também aceita importação em lote via exemplos/vinculos_exemplo.csv (colunas: avaliado, avaliador, com os nomes exatamente como cadastrados nos funcionários).</w:t>
      </w:r>
    </w:p>
    <w:p>
      <w:pPr>
        <w:spacing w:after="80"/>
      </w:pPr>
      <w:r>
        <w:t xml:space="preserve">4. Ciclo de avaliação — crie o ciclo do exercício (ex.: 2026) e deixe-o com status "aberto" enquanto as pessoas preenchem as avaliações.</w:t>
      </w:r>
    </w:p>
    <w:p>
      <w:pPr>
        <w:pStyle w:val="Heading1"/>
        <w:spacing w:after="150" w:before="300"/>
      </w:pPr>
      <w:r>
        <w:t xml:space="preserve">8. Uso do dia a dia — Administração</w:t>
      </w:r>
    </w:p>
    <w:p>
      <w:pPr>
        <w:spacing w:after="140"/>
      </w:pPr>
      <w:r>
        <w:t xml:space="preserve">Principais telas dentro de /admin:</w:t>
      </w:r>
    </w:p>
    <w:p>
      <w:pPr>
        <w:pStyle w:val="ListParagraph"/>
        <w:numPr>
          <w:ilvl w:val="0"/>
          <w:numId w:val="1"/>
        </w:numPr>
        <w:spacing w:after="80"/>
      </w:pPr>
      <w:r>
        <w:t xml:space="preserve">Painel — visão geral do andamento do ciclo.</w:t>
      </w:r>
    </w:p>
    <w:p>
      <w:pPr>
        <w:pStyle w:val="ListParagraph"/>
        <w:numPr>
          <w:ilvl w:val="0"/>
          <w:numId w:val="1"/>
        </w:numPr>
        <w:spacing w:after="80"/>
      </w:pPr>
      <w:r>
        <w:t xml:space="preserve">Andamento — status de cada avaliação (quem já respondeu, quem falta).</w:t>
      </w:r>
    </w:p>
    <w:p>
      <w:pPr>
        <w:pStyle w:val="ListParagraph"/>
        <w:numPr>
          <w:ilvl w:val="0"/>
          <w:numId w:val="1"/>
        </w:numPr>
        <w:spacing w:after="80"/>
      </w:pPr>
      <w:r>
        <w:t xml:space="preserve">Resultados (/admin/resultados) — tela de "Resultado final da avaliação": lista todo mundo com matrícula, admissão, nota da autoavaliação, nota do gestor, resultado final ponderado e conceito (A/B/C). Tem busca por nome, filtro para mostrar só quem já concluiu, e botões para baixar o PDF e a planilha Excel consolidados (seção 11) — além de baixar o PDF/Excel individual de cada pessoa e liberar/bloquear a visualização do resultado para o próprio empregado.</w:t>
      </w:r>
    </w:p>
    <w:p>
      <w:pPr>
        <w:pStyle w:val="ListParagraph"/>
        <w:numPr>
          <w:ilvl w:val="0"/>
          <w:numId w:val="1"/>
        </w:numPr>
        <w:spacing w:after="80"/>
      </w:pPr>
      <w:r>
        <w:t xml:space="preserve">Recursos — telas separadas para Comissão, Gestor e Presidência acompanharem contestações de nota (seção 10).</w:t>
      </w:r>
    </w:p>
    <w:p>
      <w:pPr>
        <w:pStyle w:val="Heading1"/>
        <w:spacing w:after="150" w:before="300"/>
      </w:pPr>
      <w:r>
        <w:t xml:space="preserve">9. Uso do dia a dia — Gestor e Empregado</w:t>
      </w:r>
    </w:p>
    <w:p>
      <w:pPr>
        <w:pStyle w:val="ListParagraph"/>
        <w:numPr>
          <w:ilvl w:val="0"/>
          <w:numId w:val="1"/>
        </w:numPr>
        <w:spacing w:after="80"/>
      </w:pPr>
      <w:r>
        <w:t xml:space="preserve">O gestor entra, escolhe seu nome na lista e vê os empregados que avalia, com o status de cada avaliação (pendente/rascunho/concluída).</w:t>
      </w:r>
    </w:p>
    <w:p>
      <w:pPr>
        <w:pStyle w:val="ListParagraph"/>
        <w:numPr>
          <w:ilvl w:val="0"/>
          <w:numId w:val="1"/>
        </w:numPr>
        <w:spacing w:after="80"/>
      </w:pPr>
      <w:r>
        <w:t xml:space="preserve">O empregado entra, escolhe seu nome e preenche a autoavaliação, no formulário do seu próprio nível hierárquico.</w:t>
      </w:r>
    </w:p>
    <w:p>
      <w:pPr>
        <w:pStyle w:val="ListParagraph"/>
        <w:numPr>
          <w:ilvl w:val="0"/>
          <w:numId w:val="1"/>
        </w:numPr>
        <w:spacing w:after="80"/>
      </w:pPr>
      <w:r>
        <w:t xml:space="preserve">As respostas podem ser salvas como rascunho (dá pra continuar depois) ou concluídas (fecha a avaliação para edição).</w:t>
      </w:r>
    </w:p>
    <w:p>
      <w:pPr>
        <w:pStyle w:val="ListParagraph"/>
        <w:numPr>
          <w:ilvl w:val="0"/>
          <w:numId w:val="1"/>
        </w:numPr>
        <w:spacing w:after="80"/>
      </w:pPr>
      <w:r>
        <w:t xml:space="preserve">Depois que a Administração libera, o empregado vê seu Resultado Final em "Minha área".</w:t>
      </w:r>
    </w:p>
    <w:p>
      <w:pPr>
        <w:pStyle w:val="Heading1"/>
        <w:spacing w:after="150" w:before="300"/>
      </w:pPr>
      <w:r>
        <w:t xml:space="preserve">10. Recursos (contestação de nota)</w:t>
      </w:r>
    </w:p>
    <w:p>
      <w:pPr>
        <w:spacing w:after="140"/>
      </w:pPr>
      <w:r>
        <w:t xml:space="preserve">Se o empregado discordar do resultado, pode abrir um recurso. O fluxo atual (documentado também em LEIA-ME.txt) é:</w:t>
      </w:r>
    </w:p>
    <w:p>
      <w:pPr>
        <w:spacing w:after="80"/>
      </w:pPr>
      <w:r>
        <w:t xml:space="preserve">1. Empregado abre o recurso → vai para a Comissão.</w:t>
      </w:r>
    </w:p>
    <w:p>
      <w:pPr>
        <w:spacing w:after="80"/>
      </w:pPr>
      <w:r>
        <w:t xml:space="preserve">2. Comissão manda mensagem ao gestor pedindo reavaliação.</w:t>
      </w:r>
    </w:p>
    <w:p>
      <w:pPr>
        <w:spacing w:after="80"/>
      </w:pPr>
      <w:r>
        <w:t xml:space="preserve">3. Gestor responde (mantém a nota ou revisa) → volta para a Comissão (não vai direto para o empregado). Se o gestor revisou: a Comissão só confirma e encerra. Se o gestor manteve: a Comissão repassa a resposta ao empregado.</w:t>
      </w:r>
    </w:p>
    <w:p>
      <w:pPr>
        <w:spacing w:after="80"/>
      </w:pPr>
      <w:r>
        <w:t xml:space="preserve">4. Empregado vê a resposta (só depois que a Comissão repassou) e decide: aceitar ou recorrer.</w:t>
      </w:r>
    </w:p>
    <w:p>
      <w:pPr>
        <w:spacing w:after="80"/>
      </w:pPr>
      <w:r>
        <w:t xml:space="preserve">5. Se aceitar: vai para a Comissão confirmar o encerramento (não encerra sozinho).</w:t>
      </w:r>
    </w:p>
    <w:p>
      <w:pPr>
        <w:spacing w:after="80"/>
      </w:pPr>
      <w:r>
        <w:t xml:space="preserve">6. Se recorrer: vai para a Comissão encaminhar à Presidência.</w:t>
      </w:r>
    </w:p>
    <w:p>
      <w:pPr>
        <w:spacing w:after="80"/>
      </w:pPr>
      <w:r>
        <w:t xml:space="preserve">7. Presidência decide (acata ou não) — é a última instância, encerra direto.</w:t>
      </w:r>
    </w:p>
    <w:p>
      <w:pPr>
        <w:spacing w:after="140"/>
      </w:pPr>
      <w:r>
        <w:t xml:space="preserve">A tela da Comissão tem 4 filas: recursos recém-abertos, gestor respondeu, empregado aceitou, e gestor manteve + empregado recorreu.</w:t>
      </w:r>
    </w:p>
    <w:p>
      <w:pPr>
        <w:pStyle w:val="Heading1"/>
        <w:spacing w:after="150" w:before="300"/>
      </w:pPr>
      <w:r>
        <w:t xml:space="preserve">11. Exportações (Excel e PDF)</w:t>
      </w:r>
    </w:p>
    <w:p>
      <w:pPr>
        <w:spacing w:after="140"/>
      </w:pPr>
      <w:r>
        <w:t xml:space="preserve">Na tela Resultado final (/admin/resultados):</w:t>
      </w:r>
    </w:p>
    <w:p>
      <w:pPr>
        <w:pStyle w:val="ListParagraph"/>
        <w:numPr>
          <w:ilvl w:val="0"/>
          <w:numId w:val="1"/>
        </w:numPr>
        <w:spacing w:after="80"/>
      </w:pPr>
      <w:r>
        <w:t xml:space="preserve">Por pessoa — cada linha tem os ícones de baixar o PDF e o Excel individuais (formulário completo com fatores, soma, média e assinatura).</w:t>
      </w:r>
    </w:p>
    <w:p>
      <w:pPr>
        <w:pStyle w:val="ListParagraph"/>
        <w:numPr>
          <w:ilvl w:val="0"/>
          <w:numId w:val="1"/>
        </w:numPr>
        <w:spacing w:after="80"/>
      </w:pPr>
      <w:r>
        <w:t xml:space="preserve">Consolidado (todo mundo do ciclo) — os botões "Baixar PDF" e "Baixar planilha (.xlsx)" no topo da tabela geram um único arquivo com todos os funcionários, no formato:</w:t>
      </w:r>
    </w:p>
    <w:p>
      <w:pPr>
        <w:pBdr>
          <w:top w:val="single" w:color="CCCCCC" w:sz="2"/>
          <w:bottom w:val="single" w:color="CCCCCC" w:sz="2"/>
          <w:left w:val="single" w:color="CCCCCC" w:sz="2"/>
          <w:right w:val="single" w:color="CCCCCC" w:sz="2"/>
        </w:pBdr>
        <w:shd w:fill="F5F6F8" w:val="clear"/>
        <w:spacing w:after="200" w:before="100"/>
        <w:ind w:left="150" w:right="150"/>
      </w:pPr>
      <w:r>
        <w:rPr>
          <w:rFonts w:ascii="Consolas" w:cs="Consolas" w:eastAsia="Consolas" w:hAnsi="Consolas"/>
          <w:sz w:val="19"/>
          <w:szCs w:val="19"/>
        </w:rPr>
        <w:t xml:space="preserve">MAT | NOME | ADMISSÃO | NOTA | CONCEITO</w:t>
      </w:r>
    </w:p>
    <w:p>
      <w:pPr>
        <w:spacing w:after="140"/>
      </w:pPr>
      <w:r>
        <w:t xml:space="preserve">seguido da tabela de Referência × Real dos conceitos (percentual esperado de A/B/C vs. o que de fato aconteceu no ciclo).</w:t>
      </w:r>
    </w:p>
    <w:p>
      <w:pPr>
        <w:spacing w:after="140"/>
      </w:pPr>
      <w:r>
        <w:t xml:space="preserve">Por padrão, essas exportações trazem só quem já concluiu a avaliação (mesma regra do filtro da tela). Para trazer todo mundo, inclusive quem está pendente, adicione &amp;somente_concluidos=0 na URL.</w:t>
      </w:r>
    </w:p>
    <w:p>
      <w:pPr>
        <w:spacing w:after="140"/>
      </w:pPr>
      <w:r>
        <w:t xml:space="preserve">As metas de referência (hoje 20% / 65% / 15% para A/B/C) ficam nas constantes META_CONCEITO_A, META_CONCEITO_B e META_CONCEITO_C, no topo de app/excel_resultado_final.py e app/pdf_resultado_final.py — ajuste os dois arquivos juntos se a meta mudar em outro exercício.</w:t>
      </w:r>
    </w:p>
    <w:p>
      <w:pPr>
        <w:spacing w:after="140"/>
      </w:pPr>
      <w:r>
        <w:rPr>
          <w:i/>
          <w:iCs/>
        </w:rPr>
        <w:t xml:space="preserve">A coluna MAT usa a matrícula cadastrada no funcionário; se estiver vazia, usa um número sequencial (1, 2, 3…) como a planilha antiga fazia.</w:t>
      </w:r>
    </w:p>
    <w:p>
      <w:pPr>
        <w:pStyle w:val="Heading1"/>
        <w:spacing w:after="150" w:before="300"/>
      </w:pPr>
      <w:r>
        <w:t xml:space="preserve">12. Estrutura de pastas e arquivos</w:t>
      </w:r>
    </w:p>
    <w:p>
      <w:pPr>
        <w:pBdr>
          <w:top w:val="single" w:color="CCCCCC" w:sz="2"/>
          <w:bottom w:val="single" w:color="CCCCCC" w:sz="2"/>
          <w:left w:val="single" w:color="CCCCCC" w:sz="2"/>
          <w:right w:val="single" w:color="CCCCCC" w:sz="2"/>
        </w:pBdr>
        <w:shd w:fill="F5F6F8" w:val="clear"/>
        <w:spacing w:after="200" w:before="100"/>
        <w:ind w:left="150" w:right="150"/>
      </w:pPr>
      <w:r>
        <w:rPr>
          <w:rFonts w:ascii="Consolas" w:cs="Consolas" w:eastAsia="Consolas" w:hAnsi="Consolas"/>
          <w:sz w:val="19"/>
          <w:szCs w:val="19"/>
        </w:rPr>
        <w:t xml:space="preserve">avaliacao_desempenho/</w:t>
      </w:r>
      <w:r>
        <w:br/>
      </w:r>
      <w:r>
        <w:rPr>
          <w:rFonts w:ascii="Consolas" w:cs="Consolas" w:eastAsia="Consolas" w:hAnsi="Consolas"/>
          <w:sz w:val="19"/>
          <w:szCs w:val="19"/>
        </w:rPr>
        <w:t xml:space="preserve">├── app/</w:t>
      </w:r>
      <w:r>
        <w:br/>
      </w:r>
      <w:r>
        <w:rPr>
          <w:rFonts w:ascii="Consolas" w:cs="Consolas" w:eastAsia="Consolas" w:hAnsi="Consolas"/>
          <w:sz w:val="19"/>
          <w:szCs w:val="19"/>
        </w:rPr>
        <w:t xml:space="preserve">│   ├── __init__.py                # cria a aplicação Flask, registra as rotas</w:t>
      </w:r>
      <w:r>
        <w:br/>
      </w:r>
      <w:r>
        <w:rPr>
          <w:rFonts w:ascii="Consolas" w:cs="Consolas" w:eastAsia="Consolas" w:hAnsi="Consolas"/>
          <w:sz w:val="19"/>
          <w:szCs w:val="19"/>
        </w:rPr>
        <w:t xml:space="preserve">│   ├── config.py                  # lê as variáveis do .env</w:t>
      </w:r>
      <w:r>
        <w:br/>
      </w:r>
      <w:r>
        <w:rPr>
          <w:rFonts w:ascii="Consolas" w:cs="Consolas" w:eastAsia="Consolas" w:hAnsi="Consolas"/>
          <w:sz w:val="19"/>
          <w:szCs w:val="19"/>
        </w:rPr>
        <w:t xml:space="preserve">│   ├── extensions.py              # instância do SQLAlchemy</w:t>
      </w:r>
      <w:r>
        <w:br/>
      </w:r>
      <w:r>
        <w:rPr>
          <w:rFonts w:ascii="Consolas" w:cs="Consolas" w:eastAsia="Consolas" w:hAnsi="Consolas"/>
          <w:sz w:val="19"/>
          <w:szCs w:val="19"/>
        </w:rPr>
        <w:t xml:space="preserve">│   ├── models.py                  # tabelas do banco (Funcionario, Avaliacao, etc.)</w:t>
      </w:r>
      <w:r>
        <w:br/>
      </w:r>
      <w:r>
        <w:rPr>
          <w:rFonts w:ascii="Consolas" w:cs="Consolas" w:eastAsia="Consolas" w:hAnsi="Consolas"/>
          <w:sz w:val="19"/>
          <w:szCs w:val="19"/>
        </w:rPr>
        <w:t xml:space="preserve">│   ├── utils.py                   # funções auxiliares (cálculo do resultado, formatação)</w:t>
      </w:r>
      <w:r>
        <w:br/>
      </w:r>
      <w:r>
        <w:rPr>
          <w:rFonts w:ascii="Consolas" w:cs="Consolas" w:eastAsia="Consolas" w:hAnsi="Consolas"/>
          <w:sz w:val="19"/>
          <w:szCs w:val="19"/>
        </w:rPr>
        <w:t xml:space="preserve">│   ├── resultado_final_service.py # monta os dados do resultado final (individual)</w:t>
      </w:r>
      <w:r>
        <w:br/>
      </w:r>
      <w:r>
        <w:rPr>
          <w:rFonts w:ascii="Consolas" w:cs="Consolas" w:eastAsia="Consolas" w:hAnsi="Consolas"/>
          <w:sz w:val="19"/>
          <w:szCs w:val="19"/>
        </w:rPr>
        <w:t xml:space="preserve">│   ├── excel_resultado_final.py   # gera os Excel (individual e consolidado)</w:t>
      </w:r>
      <w:r>
        <w:br/>
      </w:r>
      <w:r>
        <w:rPr>
          <w:rFonts w:ascii="Consolas" w:cs="Consolas" w:eastAsia="Consolas" w:hAnsi="Consolas"/>
          <w:sz w:val="19"/>
          <w:szCs w:val="19"/>
        </w:rPr>
        <w:t xml:space="preserve">│   ├── pdf_resultado_final.py     # gera os PDF (individual e consolidado)</w:t>
      </w:r>
      <w:r>
        <w:br/>
      </w:r>
      <w:r>
        <w:rPr>
          <w:rFonts w:ascii="Consolas" w:cs="Consolas" w:eastAsia="Consolas" w:hAnsi="Consolas"/>
          <w:sz w:val="19"/>
          <w:szCs w:val="19"/>
        </w:rPr>
        <w:t xml:space="preserve">│   ├── pdf_avaliacao.py           # gera o PDF do formulário de avaliação</w:t>
      </w:r>
      <w:r>
        <w:br/>
      </w:r>
      <w:r>
        <w:rPr>
          <w:rFonts w:ascii="Consolas" w:cs="Consolas" w:eastAsia="Consolas" w:hAnsi="Consolas"/>
          <w:sz w:val="19"/>
          <w:szCs w:val="19"/>
        </w:rPr>
        <w:t xml:space="preserve">│   ├── pdf_timbrado.py            # cabeçalho/timbre usado em todos os PDFs</w:t>
      </w:r>
      <w:r>
        <w:br/>
      </w:r>
      <w:r>
        <w:rPr>
          <w:rFonts w:ascii="Consolas" w:cs="Consolas" w:eastAsia="Consolas" w:hAnsi="Consolas"/>
          <w:sz w:val="19"/>
          <w:szCs w:val="19"/>
        </w:rPr>
        <w:t xml:space="preserve">│   ├── email_service.py           # envio de e-mail (aviso à Comissão)</w:t>
      </w:r>
      <w:r>
        <w:br/>
      </w:r>
      <w:r>
        <w:rPr>
          <w:rFonts w:ascii="Consolas" w:cs="Consolas" w:eastAsia="Consolas" w:hAnsi="Consolas"/>
          <w:sz w:val="19"/>
          <w:szCs w:val="19"/>
        </w:rPr>
        <w:t xml:space="preserve">│   ├── routes/</w:t>
      </w:r>
      <w:r>
        <w:br/>
      </w:r>
      <w:r>
        <w:rPr>
          <w:rFonts w:ascii="Consolas" w:cs="Consolas" w:eastAsia="Consolas" w:hAnsi="Consolas"/>
          <w:sz w:val="19"/>
          <w:szCs w:val="19"/>
        </w:rPr>
        <w:t xml:space="preserve">│   │   ├── main.py                # tela inicial, login, seleção de gestor/empregado</w:t>
      </w:r>
      <w:r>
        <w:br/>
      </w:r>
      <w:r>
        <w:rPr>
          <w:rFonts w:ascii="Consolas" w:cs="Consolas" w:eastAsia="Consolas" w:hAnsi="Consolas"/>
          <w:sz w:val="19"/>
          <w:szCs w:val="19"/>
        </w:rPr>
        <w:t xml:space="preserve">│   │   ├── avaliacoes.py          # preencher/salvar o formulário de avaliação</w:t>
      </w:r>
      <w:r>
        <w:br/>
      </w:r>
      <w:r>
        <w:rPr>
          <w:rFonts w:ascii="Consolas" w:cs="Consolas" w:eastAsia="Consolas" w:hAnsi="Consolas"/>
          <w:sz w:val="19"/>
          <w:szCs w:val="19"/>
        </w:rPr>
        <w:t xml:space="preserve">│   │   ├── admin.py               # cadastros, ciclo, resultados, exportações</w:t>
      </w:r>
      <w:r>
        <w:br/>
      </w:r>
      <w:r>
        <w:rPr>
          <w:rFonts w:ascii="Consolas" w:cs="Consolas" w:eastAsia="Consolas" w:hAnsi="Consolas"/>
          <w:sz w:val="19"/>
          <w:szCs w:val="19"/>
        </w:rPr>
        <w:t xml:space="preserve">│   │   └── recursos.py            # fluxo de contestação de nota</w:t>
      </w:r>
      <w:r>
        <w:br/>
      </w:r>
      <w:r>
        <w:rPr>
          <w:rFonts w:ascii="Consolas" w:cs="Consolas" w:eastAsia="Consolas" w:hAnsi="Consolas"/>
          <w:sz w:val="19"/>
          <w:szCs w:val="19"/>
        </w:rPr>
        <w:t xml:space="preserve">│   ├── templates/                 # HTML (Jinja2)</w:t>
      </w:r>
      <w:r>
        <w:br/>
      </w:r>
      <w:r>
        <w:rPr>
          <w:rFonts w:ascii="Consolas" w:cs="Consolas" w:eastAsia="Consolas" w:hAnsi="Consolas"/>
          <w:sz w:val="19"/>
          <w:szCs w:val="19"/>
        </w:rPr>
        <w:t xml:space="preserve">│   └── static/</w:t>
      </w:r>
      <w:r>
        <w:br/>
      </w:r>
      <w:r>
        <w:rPr>
          <w:rFonts w:ascii="Consolas" w:cs="Consolas" w:eastAsia="Consolas" w:hAnsi="Consolas"/>
          <w:sz w:val="19"/>
          <w:szCs w:val="19"/>
        </w:rPr>
        <w:t xml:space="preserve">│       ├── css/                   # estilo</w:t>
      </w:r>
      <w:r>
        <w:br/>
      </w:r>
      <w:r>
        <w:rPr>
          <w:rFonts w:ascii="Consolas" w:cs="Consolas" w:eastAsia="Consolas" w:hAnsi="Consolas"/>
          <w:sz w:val="19"/>
          <w:szCs w:val="19"/>
        </w:rPr>
        <w:t xml:space="preserve">│       └── img/                   # logos</w:t>
      </w:r>
      <w:r>
        <w:br/>
      </w:r>
      <w:r>
        <w:rPr>
          <w:rFonts w:ascii="Consolas" w:cs="Consolas" w:eastAsia="Consolas" w:hAnsi="Consolas"/>
          <w:sz w:val="19"/>
          <w:szCs w:val="19"/>
        </w:rPr>
        <w:t xml:space="preserve">├── sql/                           # scripts de banco, em ordem (seção 4)</w:t>
      </w:r>
      <w:r>
        <w:br/>
      </w:r>
      <w:r>
        <w:rPr>
          <w:rFonts w:ascii="Consolas" w:cs="Consolas" w:eastAsia="Consolas" w:hAnsi="Consolas"/>
          <w:sz w:val="19"/>
          <w:szCs w:val="19"/>
        </w:rPr>
        <w:t xml:space="preserve">├── exemplos/                      # CSVs modelo para importação em lote</w:t>
      </w:r>
      <w:r>
        <w:br/>
      </w:r>
      <w:r>
        <w:rPr>
          <w:rFonts w:ascii="Consolas" w:cs="Consolas" w:eastAsia="Consolas" w:hAnsi="Consolas"/>
          <w:sz w:val="19"/>
          <w:szCs w:val="19"/>
        </w:rPr>
        <w:t xml:space="preserve">├── requirements.txt               # dependências Python</w:t>
      </w:r>
      <w:r>
        <w:br/>
      </w:r>
      <w:r>
        <w:rPr>
          <w:rFonts w:ascii="Consolas" w:cs="Consolas" w:eastAsia="Consolas" w:hAnsi="Consolas"/>
          <w:sz w:val="19"/>
          <w:szCs w:val="19"/>
        </w:rPr>
        <w:t xml:space="preserve">├── run.py                         # roda o servidor localmente</w:t>
      </w:r>
      <w:r>
        <w:br/>
      </w:r>
      <w:r>
        <w:rPr>
          <w:rFonts w:ascii="Consolas" w:cs="Consolas" w:eastAsia="Consolas" w:hAnsi="Consolas"/>
          <w:sz w:val="19"/>
          <w:szCs w:val="19"/>
        </w:rPr>
        <w:t xml:space="preserve">├── wsgi.py                        # ponto de entrada usado em produção (Vercel)</w:t>
      </w:r>
      <w:r>
        <w:br/>
      </w:r>
      <w:r>
        <w:rPr>
          <w:rFonts w:ascii="Consolas" w:cs="Consolas" w:eastAsia="Consolas" w:hAnsi="Consolas"/>
          <w:sz w:val="19"/>
          <w:szCs w:val="19"/>
        </w:rPr>
        <w:t xml:space="preserve">├── vercel.json                    # configuração de deploy na Vercel</w:t>
      </w:r>
      <w:r>
        <w:br/>
      </w:r>
      <w:r>
        <w:rPr>
          <w:rFonts w:ascii="Consolas" w:cs="Consolas" w:eastAsia="Consolas" w:hAnsi="Consolas"/>
          <w:sz w:val="19"/>
          <w:szCs w:val="19"/>
        </w:rPr>
        <w:t xml:space="preserve">├── .env.exemplo                   # modelo de variáveis de ambiente</w:t>
      </w:r>
      <w:r>
        <w:br/>
      </w:r>
      <w:r>
        <w:rPr>
          <w:rFonts w:ascii="Consolas" w:cs="Consolas" w:eastAsia="Consolas" w:hAnsi="Consolas"/>
          <w:sz w:val="19"/>
          <w:szCs w:val="19"/>
        </w:rPr>
        <w:t xml:space="preserve">├── README.md                      # visão geral resumida do projeto</w:t>
      </w:r>
      <w:r>
        <w:br/>
      </w:r>
      <w:r>
        <w:rPr>
          <w:rFonts w:ascii="Consolas" w:cs="Consolas" w:eastAsia="Consolas" w:hAnsi="Consolas"/>
          <w:sz w:val="19"/>
          <w:szCs w:val="19"/>
        </w:rPr>
        <w:t xml:space="preserve">└── LEIA-ME.txt                    # changelog do fluxo de recursos</w:t>
      </w:r>
    </w:p>
    <w:p>
      <w:pPr>
        <w:pStyle w:val="Heading1"/>
        <w:spacing w:after="150" w:before="300"/>
      </w:pPr>
      <w:r>
        <w:t xml:space="preserve">13. Deploy em produção (Vercel)</w:t>
      </w:r>
    </w:p>
    <w:p>
      <w:pPr>
        <w:spacing w:after="140"/>
      </w:pPr>
      <w:r>
        <w:t xml:space="preserve">O projeto já tem wsgi.py e vercel.json prontos para deploy na Vercel:</w:t>
      </w:r>
    </w:p>
    <w:p>
      <w:pPr>
        <w:spacing w:after="80"/>
      </w:pPr>
      <w:r>
        <w:t xml:space="preserve">1. Suba o repositório para o GitHub (se ainda não estiver lá).</w:t>
      </w:r>
    </w:p>
    <w:p>
      <w:pPr>
        <w:spacing w:after="80"/>
      </w:pPr>
      <w:r>
        <w:t xml:space="preserve">2. Importe o repositório em vercel.com.</w:t>
      </w:r>
    </w:p>
    <w:p>
      <w:pPr>
        <w:spacing w:after="80"/>
      </w:pPr>
      <w:r>
        <w:t xml:space="preserve">3. Configure as mesmas variáveis de ambiente da seção 5 (DATABASE_URL, SECRET_KEY, ADMIN_PASSWORD, COMISSAO_PASSWORD, e as de e-mail se for usar) no painel da Vercel, em Project Settings → Environment Variables.</w:t>
      </w:r>
    </w:p>
    <w:p>
      <w:pPr>
        <w:spacing w:after="80"/>
      </w:pPr>
      <w:r>
        <w:t xml:space="preserve">4. A Vercel detecta o wsgi.py e usa vercel.json para configurar a função serverless.</w:t>
      </w:r>
    </w:p>
    <w:p>
      <w:pPr>
        <w:spacing w:after="80"/>
      </w:pPr>
      <w:r>
        <w:t xml:space="preserve">5. Após o deploy, a URL do projeto fica disponível (ex.: sistema-avaliacao-desempenho-psi.vercel.app).</w:t>
      </w:r>
    </w:p>
    <w:p>
      <w:pPr>
        <w:spacing w:after="140"/>
      </w:pPr>
      <w:r>
        <w:rPr>
          <w:b/>
          <w:bCs/>
        </w:rPr>
        <w:t xml:space="preserve">Em produção, não deixe FLASK_DEBUG=1 — isso expõe detalhes internos do sistema em caso de erro.</w:t>
      </w:r>
    </w:p>
    <w:p>
      <w:pPr>
        <w:pStyle w:val="Heading1"/>
        <w:spacing w:after="150" w:before="300"/>
      </w:pPr>
      <w:r>
        <w:t xml:space="preserve">14. Backup e versionamento (Git)</w:t>
      </w:r>
    </w:p>
    <w:p>
      <w:pPr>
        <w:spacing w:after="140"/>
      </w:pPr>
      <w:r>
        <w:t xml:space="preserve">Fluxo básico depois de alterar arquivos do sistema:</w:t>
      </w:r>
    </w:p>
    <w:p>
      <w:pPr>
        <w:pBdr>
          <w:top w:val="single" w:color="CCCCCC" w:sz="2"/>
          <w:bottom w:val="single" w:color="CCCCCC" w:sz="2"/>
          <w:left w:val="single" w:color="CCCCCC" w:sz="2"/>
          <w:right w:val="single" w:color="CCCCCC" w:sz="2"/>
        </w:pBdr>
        <w:shd w:fill="F5F6F8" w:val="clear"/>
        <w:spacing w:after="200" w:before="100"/>
        <w:ind w:left="150" w:right="150"/>
      </w:pPr>
      <w:r>
        <w:rPr>
          <w:rFonts w:ascii="Consolas" w:cs="Consolas" w:eastAsia="Consolas" w:hAnsi="Consolas"/>
          <w:sz w:val="19"/>
          <w:szCs w:val="19"/>
        </w:rPr>
        <w:t xml:space="preserve">git status                 # ver o que mudou</w:t>
      </w:r>
      <w:r>
        <w:br/>
      </w:r>
      <w:r>
        <w:rPr>
          <w:rFonts w:ascii="Consolas" w:cs="Consolas" w:eastAsia="Consolas" w:hAnsi="Consolas"/>
          <w:sz w:val="19"/>
          <w:szCs w:val="19"/>
        </w:rPr>
        <w:t xml:space="preserve">git add &lt;arquivos&gt;          # ou "git add -A" para tudo</w:t>
      </w:r>
      <w:r>
        <w:br/>
      </w:r>
      <w:r>
        <w:rPr>
          <w:rFonts w:ascii="Consolas" w:cs="Consolas" w:eastAsia="Consolas" w:hAnsi="Consolas"/>
          <w:sz w:val="19"/>
          <w:szCs w:val="19"/>
        </w:rPr>
        <w:t xml:space="preserve">git commit -m "Descrição da mudança"</w:t>
      </w:r>
      <w:r>
        <w:br/>
      </w:r>
      <w:r>
        <w:rPr>
          <w:rFonts w:ascii="Consolas" w:cs="Consolas" w:eastAsia="Consolas" w:hAnsi="Consolas"/>
          <w:sz w:val="19"/>
          <w:szCs w:val="19"/>
        </w:rPr>
        <w:t xml:space="preserve">git push</w:t>
      </w:r>
    </w:p>
    <w:p>
      <w:pPr>
        <w:spacing w:after="140"/>
      </w:pPr>
      <w:r>
        <w:t xml:space="preserve">Boas práticas:</w:t>
      </w:r>
    </w:p>
    <w:p>
      <w:pPr>
        <w:pStyle w:val="ListParagraph"/>
        <w:numPr>
          <w:ilvl w:val="0"/>
          <w:numId w:val="1"/>
        </w:numPr>
        <w:spacing w:after="80"/>
      </w:pPr>
      <w:r>
        <w:t xml:space="preserve">Nunca commitar o .env real, senha.txt ou qualquer arquivo com credenciais — só o .env.exemplo com valores fictícios.</w:t>
      </w:r>
    </w:p>
    <w:p>
      <w:pPr>
        <w:pStyle w:val="ListParagraph"/>
        <w:numPr>
          <w:ilvl w:val="0"/>
          <w:numId w:val="1"/>
        </w:numPr>
        <w:spacing w:after="80"/>
      </w:pPr>
      <w:r>
        <w:t xml:space="preserve">Fazer commits pequenos e descritivos (mais fácil de entender o histórico depois).</w:t>
      </w:r>
    </w:p>
    <w:p>
      <w:pPr>
        <w:pStyle w:val="ListParagraph"/>
        <w:numPr>
          <w:ilvl w:val="0"/>
          <w:numId w:val="1"/>
        </w:numPr>
        <w:spacing w:after="80"/>
      </w:pPr>
      <w:r>
        <w:t xml:space="preserve">Antes de subir uma mudança grande (ex.: alteração no banco), avise quem mais usa o sistema, e rode o script SQL correspondente antes de colocar o código novo no ar.</w:t>
      </w:r>
    </w:p>
    <w:p>
      <w:pPr>
        <w:pStyle w:val="Heading1"/>
        <w:spacing w:after="150" w:before="300"/>
      </w:pPr>
      <w:r>
        <w:t xml:space="preserve">15. Solução de problemas comuns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50"/>
      </w:tblGrid>
      <w:tr>
        <w:tc>
          <w:tcPr>
            <w:tcW w:type="dxa" w:w="2500"/>
            <w:shd w:fill="16273F" w:val="clear"/>
            <w:tcMar>
              <w:top w:type="dxa" w:w="60"/>
              <w:left w:type="dxa" w:w="100"/>
              <w:bottom w:type="dxa" w:w="60"/>
              <w:right w:type="dxa" w:w="100"/>
            </w:tcMar>
          </w:tcPr>
          <w:p>
            <w:r>
              <w:rPr>
                <w:b/>
                <w:bCs/>
                <w:color w:val="FFFFFF"/>
                <w:sz w:val="19"/>
                <w:szCs w:val="19"/>
              </w:rPr>
              <w:t xml:space="preserve">Sintoma</w:t>
            </w:r>
          </w:p>
        </w:tc>
        <w:tc>
          <w:tcPr>
            <w:tcW w:type="dxa" w:w="3400"/>
            <w:shd w:fill="16273F" w:val="clear"/>
            <w:tcMar>
              <w:top w:type="dxa" w:w="60"/>
              <w:left w:type="dxa" w:w="100"/>
              <w:bottom w:type="dxa" w:w="60"/>
              <w:right w:type="dxa" w:w="100"/>
            </w:tcMar>
          </w:tcPr>
          <w:p>
            <w:r>
              <w:rPr>
                <w:b/>
                <w:bCs/>
                <w:color w:val="FFFFFF"/>
                <w:sz w:val="19"/>
                <w:szCs w:val="19"/>
              </w:rPr>
              <w:t xml:space="preserve">Causa provável</w:t>
            </w:r>
          </w:p>
        </w:tc>
        <w:tc>
          <w:tcPr>
            <w:tcW w:type="dxa" w:w="3450"/>
            <w:shd w:fill="16273F" w:val="clear"/>
            <w:tcMar>
              <w:top w:type="dxa" w:w="60"/>
              <w:left w:type="dxa" w:w="100"/>
              <w:bottom w:type="dxa" w:w="60"/>
              <w:right w:type="dxa" w:w="100"/>
            </w:tcMar>
          </w:tcPr>
          <w:p>
            <w:r>
              <w:rPr>
                <w:b/>
                <w:bCs/>
                <w:color w:val="FFFFFF"/>
                <w:sz w:val="19"/>
                <w:szCs w:val="19"/>
              </w:rPr>
              <w:t xml:space="preserve">O que fazer</w:t>
            </w:r>
          </w:p>
        </w:tc>
      </w:tr>
      <w:tr>
        <w:tc>
          <w:tcPr>
            <w:tcW w:type="dxa" w:w="2500"/>
            <w:tcMar>
              <w:top w:type="dxa" w:w="60"/>
              <w:left w:type="dxa" w:w="100"/>
              <w:bottom w:type="dxa" w:w="60"/>
              <w:right w:type="dxa" w:w="100"/>
            </w:tcMar>
          </w:tcPr>
          <w:p>
            <w:r>
              <w:rPr>
                <w:b w:val="false"/>
                <w:bCs w:val="false"/>
                <w:color w:val="000000"/>
                <w:sz w:val="19"/>
                <w:szCs w:val="19"/>
              </w:rPr>
              <w:t xml:space="preserve">Erro de conexão com o banco ao iniciar</w:t>
            </w:r>
          </w:p>
        </w:tc>
        <w:tc>
          <w:tcPr>
            <w:tcW w:type="dxa" w:w="3400"/>
            <w:tcMar>
              <w:top w:type="dxa" w:w="60"/>
              <w:left w:type="dxa" w:w="100"/>
              <w:bottom w:type="dxa" w:w="60"/>
              <w:right w:type="dxa" w:w="100"/>
            </w:tcMar>
          </w:tcPr>
          <w:p>
            <w:r>
              <w:rPr>
                <w:b w:val="false"/>
                <w:bCs w:val="false"/>
                <w:color w:val="000000"/>
                <w:sz w:val="19"/>
                <w:szCs w:val="19"/>
              </w:rPr>
              <w:t xml:space="preserve">DATABASE_URL errada ou vazia no .env</w:t>
            </w:r>
          </w:p>
        </w:tc>
        <w:tc>
          <w:tcPr>
            <w:tcW w:type="dxa" w:w="3450"/>
            <w:tcMar>
              <w:top w:type="dxa" w:w="60"/>
              <w:left w:type="dxa" w:w="100"/>
              <w:bottom w:type="dxa" w:w="60"/>
              <w:right w:type="dxa" w:w="100"/>
            </w:tcMar>
          </w:tcPr>
          <w:p>
            <w:r>
              <w:rPr>
                <w:b w:val="false"/>
                <w:bCs w:val="false"/>
                <w:color w:val="000000"/>
                <w:sz w:val="19"/>
                <w:szCs w:val="19"/>
              </w:rPr>
              <w:t xml:space="preserve">Conferir a connection string no painel do Supabase</w:t>
            </w:r>
          </w:p>
        </w:tc>
      </w:tr>
      <w:tr>
        <w:tc>
          <w:tcPr>
            <w:tcW w:type="dxa" w:w="2500"/>
            <w:tcMar>
              <w:top w:type="dxa" w:w="60"/>
              <w:left w:type="dxa" w:w="100"/>
              <w:bottom w:type="dxa" w:w="60"/>
              <w:right w:type="dxa" w:w="100"/>
            </w:tcMar>
          </w:tcPr>
          <w:p>
            <w:r>
              <w:rPr>
                <w:b w:val="false"/>
                <w:bCs w:val="false"/>
                <w:color w:val="000000"/>
                <w:sz w:val="19"/>
                <w:szCs w:val="19"/>
              </w:rPr>
              <w:t xml:space="preserve">Página fica em branco / erro 500</w:t>
            </w:r>
          </w:p>
        </w:tc>
        <w:tc>
          <w:tcPr>
            <w:tcW w:type="dxa" w:w="3400"/>
            <w:tcMar>
              <w:top w:type="dxa" w:w="60"/>
              <w:left w:type="dxa" w:w="100"/>
              <w:bottom w:type="dxa" w:w="60"/>
              <w:right w:type="dxa" w:w="100"/>
            </w:tcMar>
          </w:tcPr>
          <w:p>
            <w:r>
              <w:rPr>
                <w:b w:val="false"/>
                <w:bCs w:val="false"/>
                <w:color w:val="000000"/>
                <w:sz w:val="19"/>
                <w:szCs w:val="19"/>
              </w:rPr>
              <w:t xml:space="preserve">Ver o traceback no terminal onde o python run.py está rodando</w:t>
            </w:r>
          </w:p>
        </w:tc>
        <w:tc>
          <w:tcPr>
            <w:tcW w:type="dxa" w:w="3450"/>
            <w:tcMar>
              <w:top w:type="dxa" w:w="60"/>
              <w:left w:type="dxa" w:w="100"/>
              <w:bottom w:type="dxa" w:w="60"/>
              <w:right w:type="dxa" w:w="100"/>
            </w:tcMar>
          </w:tcPr>
          <w:p>
            <w:r>
              <w:rPr>
                <w:b w:val="false"/>
                <w:bCs w:val="false"/>
                <w:color w:val="000000"/>
                <w:sz w:val="19"/>
                <w:szCs w:val="19"/>
              </w:rPr>
              <w:t xml:space="preserve">Copiar a última parte do erro para investigar a causa</w:t>
            </w:r>
          </w:p>
        </w:tc>
      </w:tr>
      <w:tr>
        <w:tc>
          <w:tcPr>
            <w:tcW w:type="dxa" w:w="2500"/>
            <w:tcMar>
              <w:top w:type="dxa" w:w="60"/>
              <w:left w:type="dxa" w:w="100"/>
              <w:bottom w:type="dxa" w:w="60"/>
              <w:right w:type="dxa" w:w="100"/>
            </w:tcMar>
          </w:tcPr>
          <w:p>
            <w:r>
              <w:rPr>
                <w:b w:val="false"/>
                <w:bCs w:val="false"/>
                <w:color w:val="000000"/>
                <w:sz w:val="19"/>
                <w:szCs w:val="19"/>
              </w:rPr>
              <w:t xml:space="preserve">Login não funciona</w:t>
            </w:r>
          </w:p>
        </w:tc>
        <w:tc>
          <w:tcPr>
            <w:tcW w:type="dxa" w:w="3400"/>
            <w:tcMar>
              <w:top w:type="dxa" w:w="60"/>
              <w:left w:type="dxa" w:w="100"/>
              <w:bottom w:type="dxa" w:w="60"/>
              <w:right w:type="dxa" w:w="100"/>
            </w:tcMar>
          </w:tcPr>
          <w:p>
            <w:r>
              <w:rPr>
                <w:b w:val="false"/>
                <w:bCs w:val="false"/>
                <w:color w:val="000000"/>
                <w:sz w:val="19"/>
                <w:szCs w:val="19"/>
              </w:rPr>
              <w:t xml:space="preserve">Senha errada, ou variável não configurada no .env</w:t>
            </w:r>
          </w:p>
        </w:tc>
        <w:tc>
          <w:tcPr>
            <w:tcW w:type="dxa" w:w="3450"/>
            <w:tcMar>
              <w:top w:type="dxa" w:w="60"/>
              <w:left w:type="dxa" w:w="100"/>
              <w:bottom w:type="dxa" w:w="60"/>
              <w:right w:type="dxa" w:w="100"/>
            </w:tcMar>
          </w:tcPr>
          <w:p>
            <w:r>
              <w:rPr>
                <w:b w:val="false"/>
                <w:bCs w:val="false"/>
                <w:color w:val="000000"/>
                <w:sz w:val="19"/>
                <w:szCs w:val="19"/>
              </w:rPr>
              <w:t xml:space="preserve">Conferir o .env e reiniciar o servidor</w:t>
            </w:r>
          </w:p>
        </w:tc>
      </w:tr>
      <w:tr>
        <w:tc>
          <w:tcPr>
            <w:tcW w:type="dxa" w:w="2500"/>
            <w:tcMar>
              <w:top w:type="dxa" w:w="60"/>
              <w:left w:type="dxa" w:w="100"/>
              <w:bottom w:type="dxa" w:w="60"/>
              <w:right w:type="dxa" w:w="100"/>
            </w:tcMar>
          </w:tcPr>
          <w:p>
            <w:r>
              <w:rPr>
                <w:b w:val="false"/>
                <w:bCs w:val="false"/>
                <w:color w:val="000000"/>
                <w:sz w:val="19"/>
                <w:szCs w:val="19"/>
              </w:rPr>
              <w:t xml:space="preserve">Coluna "Mat." aparece vazia</w:t>
            </w:r>
          </w:p>
        </w:tc>
        <w:tc>
          <w:tcPr>
            <w:tcW w:type="dxa" w:w="3400"/>
            <w:tcMar>
              <w:top w:type="dxa" w:w="60"/>
              <w:left w:type="dxa" w:w="100"/>
              <w:bottom w:type="dxa" w:w="60"/>
              <w:right w:type="dxa" w:w="100"/>
            </w:tcMar>
          </w:tcPr>
          <w:p>
            <w:r>
              <w:rPr>
                <w:b w:val="false"/>
                <w:bCs w:val="false"/>
                <w:color w:val="000000"/>
                <w:sz w:val="19"/>
                <w:szCs w:val="19"/>
              </w:rPr>
              <w:t xml:space="preserve">Funcionário sem matrícula cadastrada</w:t>
            </w:r>
          </w:p>
        </w:tc>
        <w:tc>
          <w:tcPr>
            <w:tcW w:type="dxa" w:w="3450"/>
            <w:tcMar>
              <w:top w:type="dxa" w:w="60"/>
              <w:left w:type="dxa" w:w="100"/>
              <w:bottom w:type="dxa" w:w="60"/>
              <w:right w:type="dxa" w:w="100"/>
            </w:tcMar>
          </w:tcPr>
          <w:p>
            <w:r>
              <w:rPr>
                <w:b w:val="false"/>
                <w:bCs w:val="false"/>
                <w:color w:val="000000"/>
                <w:sz w:val="19"/>
                <w:szCs w:val="19"/>
              </w:rPr>
              <w:t xml:space="preserve">Preencher a matrícula no cadastro (ou importar em lote)</w:t>
            </w:r>
          </w:p>
        </w:tc>
      </w:tr>
      <w:tr>
        <w:tc>
          <w:tcPr>
            <w:tcW w:type="dxa" w:w="2500"/>
            <w:tcMar>
              <w:top w:type="dxa" w:w="60"/>
              <w:left w:type="dxa" w:w="100"/>
              <w:bottom w:type="dxa" w:w="60"/>
              <w:right w:type="dxa" w:w="100"/>
            </w:tcMar>
          </w:tcPr>
          <w:p>
            <w:r>
              <w:rPr>
                <w:b w:val="false"/>
                <w:bCs w:val="false"/>
                <w:color w:val="000000"/>
                <w:sz w:val="19"/>
                <w:szCs w:val="19"/>
              </w:rPr>
              <w:t xml:space="preserve">Resultado final não aparece</w:t>
            </w:r>
          </w:p>
        </w:tc>
        <w:tc>
          <w:tcPr>
            <w:tcW w:type="dxa" w:w="3400"/>
            <w:tcMar>
              <w:top w:type="dxa" w:w="60"/>
              <w:left w:type="dxa" w:w="100"/>
              <w:bottom w:type="dxa" w:w="60"/>
              <w:right w:type="dxa" w:w="100"/>
            </w:tcMar>
          </w:tcPr>
          <w:p>
            <w:r>
              <w:rPr>
                <w:b w:val="false"/>
                <w:bCs w:val="false"/>
                <w:color w:val="000000"/>
                <w:sz w:val="19"/>
                <w:szCs w:val="19"/>
              </w:rPr>
              <w:t xml:space="preserve">Falta autoavaliação e/ou avaliação do gestor concluída</w:t>
            </w:r>
          </w:p>
        </w:tc>
        <w:tc>
          <w:tcPr>
            <w:tcW w:type="dxa" w:w="3450"/>
            <w:tcMar>
              <w:top w:type="dxa" w:w="60"/>
              <w:left w:type="dxa" w:w="100"/>
              <w:bottom w:type="dxa" w:w="60"/>
              <w:right w:type="dxa" w:w="100"/>
            </w:tcMar>
          </w:tcPr>
          <w:p>
            <w:r>
              <w:rPr>
                <w:b w:val="false"/>
                <w:bCs w:val="false"/>
                <w:color w:val="000000"/>
                <w:sz w:val="19"/>
                <w:szCs w:val="19"/>
              </w:rPr>
              <w:t xml:space="preserve">Conferir na tela "Andamento" quem ainda não respondeu</w:t>
            </w:r>
          </w:p>
        </w:tc>
      </w:tr>
      <w:tr>
        <w:tc>
          <w:tcPr>
            <w:tcW w:type="dxa" w:w="2500"/>
            <w:tcMar>
              <w:top w:type="dxa" w:w="60"/>
              <w:left w:type="dxa" w:w="100"/>
              <w:bottom w:type="dxa" w:w="60"/>
              <w:right w:type="dxa" w:w="100"/>
            </w:tcMar>
          </w:tcPr>
          <w:p>
            <w:r>
              <w:rPr>
                <w:b w:val="false"/>
                <w:bCs w:val="false"/>
                <w:color w:val="000000"/>
                <w:sz w:val="19"/>
                <w:szCs w:val="19"/>
              </w:rPr>
              <w:t xml:space="preserve">Mudança no código não aparece</w:t>
            </w:r>
          </w:p>
        </w:tc>
        <w:tc>
          <w:tcPr>
            <w:tcW w:type="dxa" w:w="3400"/>
            <w:tcMar>
              <w:top w:type="dxa" w:w="60"/>
              <w:left w:type="dxa" w:w="100"/>
              <w:bottom w:type="dxa" w:w="60"/>
              <w:right w:type="dxa" w:w="100"/>
            </w:tcMar>
          </w:tcPr>
          <w:p>
            <w:r>
              <w:rPr>
                <w:b w:val="false"/>
                <w:bCs w:val="false"/>
                <w:color w:val="000000"/>
                <w:sz w:val="19"/>
                <w:szCs w:val="19"/>
              </w:rPr>
              <w:t xml:space="preserve">Servidor não recarregou</w:t>
            </w:r>
          </w:p>
        </w:tc>
        <w:tc>
          <w:tcPr>
            <w:tcW w:type="dxa" w:w="3450"/>
            <w:tcMar>
              <w:top w:type="dxa" w:w="60"/>
              <w:left w:type="dxa" w:w="100"/>
              <w:bottom w:type="dxa" w:w="60"/>
              <w:right w:type="dxa" w:w="100"/>
            </w:tcMar>
          </w:tcPr>
          <w:p>
            <w:r>
              <w:rPr>
                <w:b w:val="false"/>
                <w:bCs w:val="false"/>
                <w:color w:val="000000"/>
                <w:sz w:val="19"/>
                <w:szCs w:val="19"/>
              </w:rPr>
              <w:t xml:space="preserve">Reiniciar com Ctrl+C e python run.py de novo</w:t>
            </w:r>
          </w:p>
        </w:tc>
      </w:tr>
      <w:tr>
        <w:tc>
          <w:tcPr>
            <w:tcW w:type="dxa" w:w="2500"/>
            <w:tcMar>
              <w:top w:type="dxa" w:w="60"/>
              <w:left w:type="dxa" w:w="100"/>
              <w:bottom w:type="dxa" w:w="60"/>
              <w:right w:type="dxa" w:w="100"/>
            </w:tcMar>
          </w:tcPr>
          <w:p>
            <w:r>
              <w:rPr>
                <w:b w:val="false"/>
                <w:bCs w:val="false"/>
                <w:color w:val="000000"/>
                <w:sz w:val="19"/>
                <w:szCs w:val="19"/>
              </w:rPr>
              <w:t xml:space="preserve">Erro ao importar planilha</w:t>
            </w:r>
          </w:p>
        </w:tc>
        <w:tc>
          <w:tcPr>
            <w:tcW w:type="dxa" w:w="3400"/>
            <w:tcMar>
              <w:top w:type="dxa" w:w="60"/>
              <w:left w:type="dxa" w:w="100"/>
              <w:bottom w:type="dxa" w:w="60"/>
              <w:right w:type="dxa" w:w="100"/>
            </w:tcMar>
          </w:tcPr>
          <w:p>
            <w:r>
              <w:rPr>
                <w:b w:val="false"/>
                <w:bCs w:val="false"/>
                <w:color w:val="000000"/>
                <w:sz w:val="19"/>
                <w:szCs w:val="19"/>
              </w:rPr>
              <w:t xml:space="preserve">Colunas com nome diferente, ou nome/cargo com grafia diferente do já cadastrado</w:t>
            </w:r>
          </w:p>
        </w:tc>
        <w:tc>
          <w:tcPr>
            <w:tcW w:type="dxa" w:w="3450"/>
            <w:tcMar>
              <w:top w:type="dxa" w:w="60"/>
              <w:left w:type="dxa" w:w="100"/>
              <w:bottom w:type="dxa" w:w="60"/>
              <w:right w:type="dxa" w:w="100"/>
            </w:tcMar>
          </w:tcPr>
          <w:p>
            <w:r>
              <w:rPr>
                <w:b w:val="false"/>
                <w:bCs w:val="false"/>
                <w:color w:val="000000"/>
                <w:sz w:val="19"/>
                <w:szCs w:val="19"/>
              </w:rPr>
              <w:t xml:space="preserve">Comparar com os modelos em exemplos/</w:t>
            </w:r>
          </w:p>
        </w:tc>
      </w:tr>
    </w:tbl>
    <w:p>
      <w:pPr>
        <w:pStyle w:val="Heading1"/>
        <w:spacing w:after="150" w:before="300"/>
      </w:pPr>
      <w:r>
        <w:t xml:space="preserve">16. Segurança — cuidados importantes</w:t>
      </w:r>
    </w:p>
    <w:p>
      <w:pPr>
        <w:pStyle w:val="ListParagraph"/>
        <w:numPr>
          <w:ilvl w:val="0"/>
          <w:numId w:val="1"/>
        </w:numPr>
        <w:spacing w:after="80"/>
      </w:pPr>
      <w:r>
        <w:t xml:space="preserve">ADMIN_PASSWORD e COMISSAO_PASSWORD dão acesso a dados sensíveis (avaliações, salários, CPF). Compartilhe só com quem precisa.</w:t>
      </w:r>
    </w:p>
    <w:p>
      <w:pPr>
        <w:pStyle w:val="ListParagraph"/>
        <w:numPr>
          <w:ilvl w:val="0"/>
          <w:numId w:val="1"/>
        </w:numPr>
        <w:spacing w:after="80"/>
      </w:pPr>
      <w:r>
        <w:t xml:space="preserve">Nunca deixe o arquivo .env (ou qualquer arquivo com senha real, como senha.txt) dentro do repositório Git público.</w:t>
      </w:r>
    </w:p>
    <w:p>
      <w:pPr>
        <w:pStyle w:val="ListParagraph"/>
        <w:numPr>
          <w:ilvl w:val="0"/>
          <w:numId w:val="1"/>
        </w:numPr>
        <w:spacing w:after="80"/>
      </w:pPr>
      <w:r>
        <w:t xml:space="preserve">Se enviar o projeto para alguém analisar (ex.: em um .zip), remova antes os arquivos .env, senha.txt e qualquer coisa com credencial real — ou troque as senhas depois, por segurança.</w:t>
      </w:r>
    </w:p>
    <w:p>
      <w:pPr>
        <w:pStyle w:val="ListParagraph"/>
        <w:numPr>
          <w:ilvl w:val="0"/>
          <w:numId w:val="1"/>
        </w:numPr>
        <w:spacing w:after="80"/>
      </w:pPr>
      <w:r>
        <w:t xml:space="preserve">O MAIL_APP_PASSWORD é uma senha de uso exclusivo do sistema para enviar e-mail — pode ser revogada a qualquer momento em myaccount.google.com/apppasswords, sem afetar a senha normal da conta.</w:t>
      </w:r>
    </w:p>
    <w:p>
      <w:pPr>
        <w:spacing w:before="400"/>
      </w:pPr>
      <w:r>
        <w:rPr>
          <w:i/>
          <w:iCs/>
          <w:color w:val="555555"/>
          <w:sz w:val="18"/>
          <w:szCs w:val="18"/>
        </w:rPr>
        <w:t xml:space="preserve">Documento gerado para o Sistema de Avaliação de Desempenho — SENAR Ceará.</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2026-07-30T13:17:04.670Z</dcterms:created>
  <dcterms:modified xsi:type="dcterms:W3CDTF">2026-07-30T13:17:04.670Z</dcterms:modified>
</cp:coreProperties>
</file>

<file path=docProps/custom.xml><?xml version="1.0" encoding="utf-8"?>
<Properties xmlns="http://schemas.openxmlformats.org/officeDocument/2006/custom-properties" xmlns:vt="http://schemas.openxmlformats.org/officeDocument/2006/docPropsVTypes"/>
</file>