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МИНИСТЕРСТВО ЦИФРОВОГО РАЗВИТИЯ, СВЯЗИ И МАССОВЫХ КОММУНИКАЦИЙ РОССИЙСКОЙ ФЕДЕРАЦИИ</w:t>
      </w:r>
    </w:p>
    <w:p w:rsidR="00000000" w:rsidDel="00000000" w:rsidP="00000000" w:rsidRDefault="00000000" w:rsidRPr="00000000" w14:paraId="00000003">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Ордена Трудового Красного Знамени </w:t>
      </w:r>
    </w:p>
    <w:p w:rsidR="00000000" w:rsidDel="00000000" w:rsidP="00000000" w:rsidRDefault="00000000" w:rsidRPr="00000000" w14:paraId="00000004">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Федеральное Государственное бюджетное образовательное учреждение высшего образования </w:t>
      </w:r>
    </w:p>
    <w:p w:rsidR="00000000" w:rsidDel="00000000" w:rsidP="00000000" w:rsidRDefault="00000000" w:rsidRPr="00000000" w14:paraId="00000005">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«Московский Технический Университет Связи и Информатики»</w:t>
      </w:r>
    </w:p>
    <w:p w:rsidR="00000000" w:rsidDel="00000000" w:rsidP="00000000" w:rsidRDefault="00000000" w:rsidRPr="00000000" w14:paraId="00000006">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07">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Кафедра «Информационная безопасность»</w:t>
      </w:r>
    </w:p>
    <w:p w:rsidR="00000000" w:rsidDel="00000000" w:rsidP="00000000" w:rsidRDefault="00000000" w:rsidRPr="00000000" w14:paraId="00000008">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09">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Дисциплина «Интеллектуальные технологии </w:t>
        <w:br w:type="textWrapping"/>
        <w:t xml:space="preserve">информационной безопасности» </w:t>
      </w:r>
    </w:p>
    <w:p w:rsidR="00000000" w:rsidDel="00000000" w:rsidP="00000000" w:rsidRDefault="00000000" w:rsidRPr="00000000" w14:paraId="0000000A">
      <w:pPr>
        <w:spacing w:after="0" w:line="360" w:lineRule="auto"/>
        <w:ind w:right="7.204724409448886"/>
        <w:rPr>
          <w:rFonts w:ascii="Times New Roman" w:cs="Times New Roman" w:eastAsia="Times New Roman" w:hAnsi="Times New Roman"/>
          <w:i w:val="0"/>
          <w:color w:val="000000"/>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B">
      <w:pPr>
        <w:spacing w:after="0" w:line="360" w:lineRule="auto"/>
        <w:ind w:right="7.204724409448886"/>
        <w:jc w:val="center"/>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Лабораторные работы</w:t>
      </w:r>
    </w:p>
    <w:p w:rsidR="00000000" w:rsidDel="00000000" w:rsidP="00000000" w:rsidRDefault="00000000" w:rsidRPr="00000000" w14:paraId="0000000C">
      <w:pPr>
        <w:spacing w:after="0"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line="360" w:lineRule="auto"/>
        <w:ind w:right="7.204724409448886"/>
        <w:jc w:val="center"/>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Выполнил студент</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группы М102201(70)</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Пальчун Д</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Преподаватель: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Раковский Д.И.</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7.204724409448886" w:firstLine="0"/>
        <w:jc w:val="left"/>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keepNext w:val="1"/>
        <w:spacing w:after="0" w:line="360" w:lineRule="auto"/>
        <w:ind w:right="7.2047244094488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1C">
      <w:pPr>
        <w:keepNext w:val="1"/>
        <w:spacing w:after="0" w:line="360" w:lineRule="auto"/>
        <w:ind w:right="7.204724409448886"/>
        <w:jc w:val="both"/>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627.307086614175"/>
            </w:tabs>
            <w:spacing w:before="80" w:line="360" w:lineRule="auto"/>
            <w:ind w:lef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sdrpzjwepoj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1. «Статистический анализ наборов данных».</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_heading=h.sdrpzjwepoja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27.307086614175"/>
            </w:tabs>
            <w:spacing w:before="200" w:line="360" w:lineRule="auto"/>
            <w:ind w:left="0" w:firstLine="0"/>
            <w:jc w:val="both"/>
            <w:rPr>
              <w:rFonts w:ascii="Times New Roman" w:cs="Times New Roman" w:eastAsia="Times New Roman" w:hAnsi="Times New Roman"/>
              <w:b w:val="1"/>
              <w:sz w:val="28"/>
              <w:szCs w:val="28"/>
            </w:rPr>
          </w:pPr>
          <w:hyperlink w:anchor="_heading=h.omejpectj0ii">
            <w:r w:rsidDel="00000000" w:rsidR="00000000" w:rsidRPr="00000000">
              <w:rPr>
                <w:rFonts w:ascii="Times New Roman" w:cs="Times New Roman" w:eastAsia="Times New Roman" w:hAnsi="Times New Roman"/>
                <w:b w:val="1"/>
                <w:sz w:val="28"/>
                <w:szCs w:val="28"/>
                <w:rtl w:val="0"/>
              </w:rPr>
              <w:t xml:space="preserve">Лабораторная работа 2. «Исследование однослойных нейронных сетей на примере моделирования булевых выражений».</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_heading=h.omejpectj0ii \h </w:instrText>
            <w:fldChar w:fldCharType="separate"/>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27.307086614175"/>
            </w:tabs>
            <w:spacing w:before="200" w:line="360" w:lineRule="auto"/>
            <w:ind w:lef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3. Оценка результатов классификации при помощи метрик TP, FP, FN, TN, Accuracy, Precision, AUC, F-мера, матрица ошибок и лабораторная работа 4: «Алгоритмы машинного обучения с учителем для решения задач классификации».</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27.307086614175"/>
            </w:tabs>
            <w:spacing w:after="80" w:before="200" w:line="360" w:lineRule="auto"/>
            <w:ind w:lef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6rvl8mpmqec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Лабораторная работа 8. Снижение размерности входных данных на примере алгоритмов PCA, SVD</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_heading=h.6rvl8mpmqecl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spacing w:line="360" w:lineRule="auto"/>
        <w:ind w:right="7.204724409448886"/>
        <w:jc w:val="center"/>
        <w:rPr>
          <w:sz w:val="28"/>
          <w:szCs w:val="28"/>
        </w:rPr>
      </w:pPr>
      <w:bookmarkStart w:colFirst="0" w:colLast="0" w:name="_heading=h.sdrpzjwepoja" w:id="2"/>
      <w:bookmarkEnd w:id="2"/>
      <w:r w:rsidDel="00000000" w:rsidR="00000000" w:rsidRPr="00000000">
        <w:br w:type="column"/>
      </w:r>
      <w:r w:rsidDel="00000000" w:rsidR="00000000" w:rsidRPr="00000000">
        <w:rPr>
          <w:sz w:val="28"/>
          <w:szCs w:val="28"/>
          <w:rtl w:val="0"/>
        </w:rPr>
        <w:t xml:space="preserve">Лабораторная работа 1. «Статистический анализ наборов данных»</w:t>
      </w:r>
    </w:p>
    <w:p w:rsidR="00000000" w:rsidDel="00000000" w:rsidP="00000000" w:rsidRDefault="00000000" w:rsidRPr="00000000" w14:paraId="00000022">
      <w:pPr>
        <w:keepNext w:val="1"/>
        <w:spacing w:after="0" w:line="360" w:lineRule="auto"/>
        <w:ind w:right="7.20472440944888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keepNext w:val="1"/>
        <w:spacing w:after="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работы:</w:t>
      </w:r>
      <w:r w:rsidDel="00000000" w:rsidR="00000000" w:rsidRPr="00000000">
        <w:rPr>
          <w:rFonts w:ascii="Times New Roman" w:cs="Times New Roman" w:eastAsia="Times New Roman" w:hAnsi="Times New Roman"/>
          <w:sz w:val="28"/>
          <w:szCs w:val="28"/>
          <w:rtl w:val="0"/>
        </w:rPr>
        <w:t xml:space="preserve"> усвоить основные способы статистической оценки данных перед их обработкой интеллектуальными алгоритмами анализа данных. </w:t>
      </w:r>
    </w:p>
    <w:p w:rsidR="00000000" w:rsidDel="00000000" w:rsidP="00000000" w:rsidRDefault="00000000" w:rsidRPr="00000000" w14:paraId="00000024">
      <w:pPr>
        <w:keepNext w:val="1"/>
        <w:spacing w:after="0" w:line="360" w:lineRule="auto"/>
        <w:ind w:right="7.2047244094488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keepNext w:val="1"/>
        <w:spacing w:after="0" w:line="360" w:lineRule="auto"/>
        <w:ind w:right="7.2047244094488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Теоретическая часть</w:t>
      </w:r>
    </w:p>
    <w:p w:rsidR="00000000" w:rsidDel="00000000" w:rsidP="00000000" w:rsidRDefault="00000000" w:rsidRPr="00000000" w14:paraId="00000026">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Говорят, что компьютерная программа обучается на опыте E относительно некоторого класса задач T и меры качества P, если ее качество на задачах, принадлежащих T, измеренное в соответствии с P, улучшается с увеличением опыта E [1]. </w:t>
      </w:r>
    </w:p>
    <w:p w:rsidR="00000000" w:rsidDel="00000000" w:rsidP="00000000" w:rsidRDefault="00000000" w:rsidRPr="00000000" w14:paraId="00000028">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существует много видов машинного обучения, зависящих от природы задачи T, решению которой необходимо обучить систему, природы меры качества P, используемой для оценки работы системы, и природы обучающего сигнала, или опыта E, на котором обучается система [2]. </w:t>
      </w:r>
    </w:p>
    <w:p w:rsidR="00000000" w:rsidDel="00000000" w:rsidP="00000000" w:rsidRDefault="00000000" w:rsidRPr="00000000" w14:paraId="00000029">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применением инструментов машинного обучения (МО) к какой-либо задаче, необходимо провести разведочных анализ данных с целью выяснения наиболее очевидных закономерностей в наборе данных. Для первичного анализа данных потребуется знание основ математического анализа, математической статистики, теории информации, дискретной математики</w:t>
      </w:r>
    </w:p>
    <w:p w:rsidR="00000000" w:rsidDel="00000000" w:rsidP="00000000" w:rsidRDefault="00000000" w:rsidRPr="00000000" w14:paraId="0000002A">
      <w:pPr>
        <w:keepNext w:val="1"/>
        <w:spacing w:after="0" w:line="360" w:lineRule="auto"/>
        <w:ind w:right="7.204724409448886"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График парных отношений. </w:t>
      </w:r>
    </w:p>
    <w:p w:rsidR="00000000" w:rsidDel="00000000" w:rsidP="00000000" w:rsidRDefault="00000000" w:rsidRPr="00000000" w14:paraId="0000002B">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табличных данных с небольшим числом признаков часто строят график парных отношений, на котором каждый подграф (i, j) содержит диаграмму рассеяния величин i и j, а диагональные элементы (i, i) показывают маргинальное распределение величины i. Обобщенная запись маргинального распределения для случайной величины записывается как:</w:t>
      </w:r>
    </w:p>
    <w:tbl>
      <w:tblPr>
        <w:tblStyle w:val="Table1"/>
        <w:tblW w:w="9571.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755"/>
        <w:gridCol w:w="816"/>
        <w:tblGridChange w:id="0">
          <w:tblGrid>
            <w:gridCol w:w="8755"/>
            <w:gridCol w:w="816"/>
          </w:tblGrid>
        </w:tblGridChange>
      </w:tblGrid>
      <w:tr>
        <w:trPr>
          <w:cantSplit w:val="0"/>
          <w:tblHeader w:val="0"/>
        </w:trPr>
        <w:tc>
          <w:tcPr/>
          <w:p w:rsidR="00000000" w:rsidDel="00000000" w:rsidP="00000000" w:rsidRDefault="00000000" w:rsidRPr="00000000" w14:paraId="0000002C">
            <w:pPr>
              <w:keepNext w:val="1"/>
              <w:spacing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𝑝(𝑋 = 𝑥) = ∑𝑝(𝑋 = 𝑥, 𝑌 = 𝑦)</w:t>
            </w:r>
          </w:p>
        </w:tc>
        <w:tc>
          <w:tcPr/>
          <w:p w:rsidR="00000000" w:rsidDel="00000000" w:rsidP="00000000" w:rsidRDefault="00000000" w:rsidRPr="00000000" w14:paraId="0000002D">
            <w:pPr>
              <w:keepNext w:val="1"/>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bl>
    <w:p w:rsidR="00000000" w:rsidDel="00000000" w:rsidP="00000000" w:rsidRDefault="00000000" w:rsidRPr="00000000" w14:paraId="0000002E">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суммирование производится по всем возможным значениям Y. </w:t>
      </w:r>
    </w:p>
    <w:p w:rsidR="00000000" w:rsidDel="00000000" w:rsidP="00000000" w:rsidRDefault="00000000" w:rsidRPr="00000000" w14:paraId="00000030">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Ранее в русскоязычной литературе термин marginal distribution переводился как «частное распределение», сейчас более употребителен перевод «маргинальное распределение»); дополнительно все графики могут быть маркированы цветом, ассоциированным с меткой класса. Визуализация графика парных отношений приведена на рис. 1.1.</w:t>
      </w:r>
    </w:p>
    <w:p w:rsidR="00000000" w:rsidDel="00000000" w:rsidP="00000000" w:rsidRDefault="00000000" w:rsidRPr="00000000" w14:paraId="00000031">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keepNext w:val="1"/>
        <w:spacing w:after="0" w:line="360" w:lineRule="auto"/>
        <w:ind w:right="7.204724409448886" w:firstLine="70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255478" cy="1944176"/>
            <wp:effectExtent b="0" l="0" r="0" t="0"/>
            <wp:docPr id="10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255478" cy="19441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1.1 Визуализация построения попарной диаграммы рассеяния на наборе Iris.</w:t>
      </w:r>
    </w:p>
    <w:p w:rsidR="00000000" w:rsidDel="00000000" w:rsidP="00000000" w:rsidRDefault="00000000" w:rsidRPr="00000000" w14:paraId="00000034">
      <w:pPr>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0" w:line="360" w:lineRule="auto"/>
        <w:ind w:right="7.20472440944888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Частотная гистограмма распределения классов. </w:t>
      </w:r>
    </w:p>
    <w:p w:rsidR="00000000" w:rsidDel="00000000" w:rsidP="00000000" w:rsidRDefault="00000000" w:rsidRPr="00000000" w14:paraId="00000036">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Частотное распределение представляет собой столбчатую диаграмму для отображения частотности попадания наблюдаемых значений в определенные интервалы или классы. Пример построенной частотной гистограммы распределения классов для бинарного случая приведен на рис. 1.2.</w:t>
      </w:r>
    </w:p>
    <w:p w:rsidR="00000000" w:rsidDel="00000000" w:rsidP="00000000" w:rsidRDefault="00000000" w:rsidRPr="00000000" w14:paraId="00000037">
      <w:pPr>
        <w:spacing w:after="0" w:line="360" w:lineRule="auto"/>
        <w:ind w:right="7.204724409448886"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379223" cy="1434750"/>
            <wp:effectExtent b="0" l="0" r="0" t="0"/>
            <wp:docPr id="10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1379223" cy="1434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1.2 Визуализация построения частотной гистограммы распределения классов.</w:t>
      </w:r>
    </w:p>
    <w:p w:rsidR="00000000" w:rsidDel="00000000" w:rsidP="00000000" w:rsidRDefault="00000000" w:rsidRPr="00000000" w14:paraId="00000039">
      <w:pPr>
        <w:spacing w:after="0" w:line="360" w:lineRule="auto"/>
        <w:ind w:right="7.20472440944888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Корреляционная диаграмма. </w:t>
      </w:r>
    </w:p>
    <w:p w:rsidR="00000000" w:rsidDel="00000000" w:rsidP="00000000" w:rsidRDefault="00000000" w:rsidRPr="00000000" w14:paraId="0000003A">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оценки значимости и оценки количества атрибутов используется построение корреляционной диаграммы на основе оценок коэффициентов корреляции атрибутов методами Пирсона, Кендалла и Спирмена. Коэффициент корреляции Пирсона характеризует существование линейной зависимости между значениями двух выборок одинаковой размерности.</w:t>
      </w:r>
    </w:p>
    <w:p w:rsidR="00000000" w:rsidDel="00000000" w:rsidP="00000000" w:rsidRDefault="00000000" w:rsidRPr="00000000" w14:paraId="0000003B">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Ранговые корреляции Спирмена и Кенделла отличаются различной интерпретацией. Так если коэффициент корреляции Спирмена может рассматриваться как прямой аналог коэффициента корреляции Пирсона, вычисленный по рангам, то при вычислении коэффициента корреляции Кендалла проверяется наличие различий между вероятностями порядка (ранга) расположения наблюдаемых данных. Следует отметить, что в корреляции методом Спирмена инверсиям придаются дополнительные веса. В результате коэффициент корреляции Спирмена значительнее реагирует на несогласие выборок, чем коэффициент корреляции Кендалла. В большинстве случаев |ρ| &gt; |τ|. Пример построения трех корреляционных диаграмм для одного и того же набора данных приведен на рис. 1.3.</w:t>
      </w:r>
    </w:p>
    <w:p w:rsidR="00000000" w:rsidDel="00000000" w:rsidP="00000000" w:rsidRDefault="00000000" w:rsidRPr="00000000" w14:paraId="0000003C">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keepNext w:val="1"/>
        <w:spacing w:after="0" w:line="360" w:lineRule="auto"/>
        <w:ind w:right="7.20472440944888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61520" cy="1662063"/>
            <wp:effectExtent b="0" l="0" r="0" t="0"/>
            <wp:docPr id="10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361520" cy="16620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1.3 Визуализация построения корреляционной диаграммы. Корреляционные диаграммы, выполненные для атрибутов №15, №17, №20 методом: а) Пирсона; б) Спирмена; в) Кендалла.</w:t>
      </w:r>
    </w:p>
    <w:p w:rsidR="00000000" w:rsidDel="00000000" w:rsidP="00000000" w:rsidRDefault="00000000" w:rsidRPr="00000000" w14:paraId="0000003F">
      <w:pPr>
        <w:ind w:right="7.204724409448886"/>
        <w:rPr>
          <w:rFonts w:ascii="Times New Roman" w:cs="Times New Roman" w:eastAsia="Times New Roman" w:hAnsi="Times New Roman"/>
          <w:b w:val="1"/>
          <w:sz w:val="28"/>
          <w:szCs w:val="28"/>
        </w:rPr>
      </w:pPr>
      <w:r w:rsidDel="00000000" w:rsidR="00000000" w:rsidRPr="00000000">
        <w:br w:type="column"/>
      </w:r>
      <w:r w:rsidDel="00000000" w:rsidR="00000000" w:rsidRPr="00000000">
        <w:rPr>
          <w:rFonts w:ascii="Times New Roman" w:cs="Times New Roman" w:eastAsia="Times New Roman" w:hAnsi="Times New Roman"/>
          <w:b w:val="1"/>
          <w:sz w:val="28"/>
          <w:szCs w:val="28"/>
          <w:rtl w:val="0"/>
        </w:rPr>
        <w:t xml:space="preserve">Ход работы:</w:t>
      </w:r>
    </w:p>
    <w:p w:rsidR="00000000" w:rsidDel="00000000" w:rsidP="00000000" w:rsidRDefault="00000000" w:rsidRPr="00000000" w14:paraId="00000040">
      <w:pPr>
        <w:spacing w:after="0" w:line="360" w:lineRule="auto"/>
        <w:ind w:right="7.204724409448886"/>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sz w:val="28"/>
          <w:szCs w:val="28"/>
          <w:rtl w:val="0"/>
        </w:rPr>
        <w:t xml:space="preserve">Dataset: </w:t>
      </w:r>
      <w:r w:rsidDel="00000000" w:rsidR="00000000" w:rsidRPr="00000000">
        <w:rPr>
          <w:rFonts w:ascii="Times New Roman" w:cs="Times New Roman" w:eastAsia="Times New Roman" w:hAnsi="Times New Roman"/>
          <w:color w:val="202124"/>
          <w:sz w:val="28"/>
          <w:szCs w:val="28"/>
          <w:rtl w:val="0"/>
        </w:rPr>
        <w:t xml:space="preserve">IMDB Video Games (</w:t>
      </w:r>
      <w:hyperlink r:id="rId10">
        <w:r w:rsidDel="00000000" w:rsidR="00000000" w:rsidRPr="00000000">
          <w:rPr>
            <w:rFonts w:ascii="Times New Roman" w:cs="Times New Roman" w:eastAsia="Times New Roman" w:hAnsi="Times New Roman"/>
            <w:color w:val="1155cc"/>
            <w:sz w:val="28"/>
            <w:szCs w:val="28"/>
            <w:u w:val="single"/>
            <w:rtl w:val="0"/>
          </w:rPr>
          <w:t xml:space="preserve">https://www.kaggle.com/datasets/muhammadadiltalay/imdb-video-games</w:t>
        </w:r>
      </w:hyperlink>
      <w:r w:rsidDel="00000000" w:rsidR="00000000" w:rsidRPr="00000000">
        <w:rPr>
          <w:rFonts w:ascii="Times New Roman" w:cs="Times New Roman" w:eastAsia="Times New Roman" w:hAnsi="Times New Roman"/>
          <w:color w:val="202124"/>
          <w:sz w:val="28"/>
          <w:szCs w:val="28"/>
          <w:rtl w:val="0"/>
        </w:rPr>
        <w:t xml:space="preserve">)</w:t>
      </w:r>
    </w:p>
    <w:p w:rsidR="00000000" w:rsidDel="00000000" w:rsidP="00000000" w:rsidRDefault="00000000" w:rsidRPr="00000000" w14:paraId="00000041">
      <w:pPr>
        <w:spacing w:after="0" w:line="360" w:lineRule="auto"/>
        <w:ind w:right="7.204724409448886"/>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42">
      <w:pPr>
        <w:pStyle w:val="Heading1"/>
        <w:keepNext w:val="1"/>
        <w:shd w:fill="ffffff" w:val="clear"/>
        <w:spacing w:after="0" w:before="0" w:lineRule="auto"/>
        <w:ind w:right="7.204724409448886"/>
        <w:jc w:val="center"/>
        <w:rPr/>
      </w:pPr>
      <w:r w:rsidDel="00000000" w:rsidR="00000000" w:rsidRPr="00000000">
        <w:rPr>
          <w:color w:val="202124"/>
          <w:sz w:val="28"/>
          <w:szCs w:val="28"/>
        </w:rPr>
        <w:drawing>
          <wp:inline distB="114300" distT="114300" distL="114300" distR="114300">
            <wp:extent cx="5940115" cy="4445000"/>
            <wp:effectExtent b="0" l="0" r="0" t="0"/>
            <wp:docPr id="10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0115"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Dataset: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4"/>
          <w:sz w:val="28"/>
          <w:szCs w:val="28"/>
          <w:rtl w:val="0"/>
        </w:rPr>
        <w:t xml:space="preserve">IMDB Video Games</w:t>
      </w:r>
      <w:r w:rsidDel="00000000" w:rsidR="00000000" w:rsidRPr="00000000">
        <w:rPr>
          <w:rtl w:val="0"/>
        </w:rPr>
      </w:r>
    </w:p>
    <w:p w:rsidR="00000000" w:rsidDel="00000000" w:rsidP="00000000" w:rsidRDefault="00000000" w:rsidRPr="00000000" w14:paraId="00000044">
      <w:pPr>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1"/>
        <w:spacing w:after="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9130" cy="5161597"/>
            <wp:effectExtent b="0" l="0" r="0" t="0"/>
            <wp:docPr id="9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59130" cy="516159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1.4</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Корреляционная диаграмма</w:t>
      </w:r>
    </w:p>
    <w:p w:rsidR="00000000" w:rsidDel="00000000" w:rsidP="00000000" w:rsidRDefault="00000000" w:rsidRPr="00000000" w14:paraId="00000047">
      <w:pPr>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наборе данных (рисунок 1.4) очевидно, что между годами выхода игр, количеством голосов на игру и рейтингом вышедших игр нет корреляции. Таким образом, мы можем утверждать, что заявление, которое не подкрепляется дополнительными аргументами, о том, что раньше игры делали лучше - ложно, также ложно утверждение, что нужно ориентироваться на качество игры исходя только из того, что за нее обращает внимание большое количество людей.</w:t>
      </w:r>
    </w:p>
    <w:p w:rsidR="00000000" w:rsidDel="00000000" w:rsidP="00000000" w:rsidRDefault="00000000" w:rsidRPr="00000000" w14:paraId="00000049">
      <w:pPr>
        <w:keepNext w:val="1"/>
        <w:spacing w:after="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5854700"/>
            <wp:effectExtent b="0" l="0" r="0" t="0"/>
            <wp:docPr id="8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0115"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График парных отношений</w:t>
      </w:r>
    </w:p>
    <w:p w:rsidR="00000000" w:rsidDel="00000000" w:rsidP="00000000" w:rsidRDefault="00000000" w:rsidRPr="00000000" w14:paraId="0000004B">
      <w:pPr>
        <w:spacing w:after="0" w:lineRule="auto"/>
        <w:ind w:right="7.20472440944888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графике парных отношений (рисунок 1.5) мы можем наблюдать, что с 2015 года количество голосующих за рейтинг игр увеличилось, также видна тенденция того, что с течением лет количество оценок игр увеличивается, но высота оценки уменьшается. Также, видно, что люди неохотно ставят играм низкие оценки.</w:t>
      </w:r>
    </w:p>
    <w:p w:rsidR="00000000" w:rsidDel="00000000" w:rsidP="00000000" w:rsidRDefault="00000000" w:rsidRPr="00000000" w14:paraId="0000004D">
      <w:pPr>
        <w:keepNext w:val="1"/>
        <w:spacing w:after="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962400"/>
            <wp:effectExtent b="0" l="0" r="0" t="0"/>
            <wp:docPr id="9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011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w:t>
      </w:r>
      <w:r w:rsidDel="00000000" w:rsidR="00000000" w:rsidRPr="00000000">
        <w:rPr>
          <w:rFonts w:ascii="Times New Roman" w:cs="Times New Roman" w:eastAsia="Times New Roman" w:hAnsi="Times New Roman"/>
          <w:sz w:val="28"/>
          <w:szCs w:val="28"/>
          <w:rtl w:val="0"/>
        </w:rPr>
        <w:t xml:space="preserve">1.6</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Частотная гистограмма распределения классов. №1 – Общий результат трех </w:t>
      </w:r>
      <w:r w:rsidDel="00000000" w:rsidR="00000000" w:rsidRPr="00000000">
        <w:rPr>
          <w:rFonts w:ascii="Times New Roman" w:cs="Times New Roman" w:eastAsia="Times New Roman" w:hAnsi="Times New Roman"/>
          <w:sz w:val="28"/>
          <w:szCs w:val="28"/>
          <w:rtl w:val="0"/>
        </w:rPr>
        <w:t xml:space="preserve">лет</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№2 – Результат </w:t>
      </w:r>
      <w:r w:rsidDel="00000000" w:rsidR="00000000" w:rsidRPr="00000000">
        <w:rPr>
          <w:rFonts w:ascii="Times New Roman" w:cs="Times New Roman" w:eastAsia="Times New Roman" w:hAnsi="Times New Roman"/>
          <w:sz w:val="28"/>
          <w:szCs w:val="28"/>
          <w:rtl w:val="0"/>
        </w:rPr>
        <w:t xml:space="preserve">за 2013</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№3 – результаты </w:t>
      </w:r>
      <w:r w:rsidDel="00000000" w:rsidR="00000000" w:rsidRPr="00000000">
        <w:rPr>
          <w:rFonts w:ascii="Times New Roman" w:cs="Times New Roman" w:eastAsia="Times New Roman" w:hAnsi="Times New Roman"/>
          <w:sz w:val="28"/>
          <w:szCs w:val="28"/>
          <w:rtl w:val="0"/>
        </w:rPr>
        <w:t xml:space="preserve">за 2018</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№4 – результаты</w:t>
      </w:r>
      <w:r w:rsidDel="00000000" w:rsidR="00000000" w:rsidRPr="00000000">
        <w:rPr>
          <w:rFonts w:ascii="Times New Roman" w:cs="Times New Roman" w:eastAsia="Times New Roman" w:hAnsi="Times New Roman"/>
          <w:sz w:val="28"/>
          <w:szCs w:val="28"/>
          <w:rtl w:val="0"/>
        </w:rPr>
        <w:t xml:space="preserve"> за 2020</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F">
      <w:pPr>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1.6 продемонстрирована гистограмма общего результата оценок за 3 года. Здесь мы видим, что количество игр, набравших более 7 баллов с течением лет увеличивается, как и общее количество игр. </w:t>
      </w:r>
    </w:p>
    <w:p w:rsidR="00000000" w:rsidDel="00000000" w:rsidP="00000000" w:rsidRDefault="00000000" w:rsidRPr="00000000" w14:paraId="00000051">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after="0" w:line="360" w:lineRule="auto"/>
        <w:ind w:right="7.2047244094488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053">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результатам выполнения лабораторной работы были усвоены основные способы статистической оценки данных. Был проведен разведочный анализ данных с целью выяснения наиболее очевидных закономерностей в наборе данных. Проанализированы: график парных отношений, частотная гистограмма распределения классов и корреляционная диаграмма. </w:t>
      </w:r>
    </w:p>
    <w:p w:rsidR="00000000" w:rsidDel="00000000" w:rsidP="00000000" w:rsidRDefault="00000000" w:rsidRPr="00000000" w14:paraId="00000054">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after="0" w:line="360" w:lineRule="auto"/>
        <w:ind w:right="7.204724409448886" w:firstLine="708"/>
        <w:jc w:val="center"/>
        <w:rPr>
          <w:sz w:val="28"/>
          <w:szCs w:val="28"/>
        </w:rPr>
      </w:pPr>
      <w:bookmarkStart w:colFirst="0" w:colLast="0" w:name="_heading=h.omejpectj0ii" w:id="3"/>
      <w:bookmarkEnd w:id="3"/>
      <w:r w:rsidDel="00000000" w:rsidR="00000000" w:rsidRPr="00000000">
        <w:rPr>
          <w:sz w:val="28"/>
          <w:szCs w:val="28"/>
          <w:rtl w:val="0"/>
        </w:rPr>
        <w:t xml:space="preserve">Лабораторная работа 2. </w:t>
      </w:r>
      <w:r w:rsidDel="00000000" w:rsidR="00000000" w:rsidRPr="00000000">
        <w:rPr>
          <w:sz w:val="28"/>
          <w:szCs w:val="28"/>
          <w:rtl w:val="0"/>
        </w:rPr>
        <w:t xml:space="preserve">«</w:t>
      </w:r>
      <w:r w:rsidDel="00000000" w:rsidR="00000000" w:rsidRPr="00000000">
        <w:rPr>
          <w:sz w:val="28"/>
          <w:szCs w:val="28"/>
          <w:rtl w:val="0"/>
        </w:rPr>
        <w:t xml:space="preserve">Исследование однослойных нейронных сетей на примере моделирования булевых выражений</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56">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работы</w:t>
      </w:r>
      <w:r w:rsidDel="00000000" w:rsidR="00000000" w:rsidRPr="00000000">
        <w:rPr>
          <w:rFonts w:ascii="Times New Roman" w:cs="Times New Roman" w:eastAsia="Times New Roman" w:hAnsi="Times New Roman"/>
          <w:sz w:val="28"/>
          <w:szCs w:val="28"/>
          <w:rtl w:val="0"/>
        </w:rPr>
        <w:t xml:space="preserve">: исследовать функционирование простейшей нейронной сети (НС) на базе нейрона с нелинейной функцией активации посредством обучения ее по правилу Видроу-Хоффа.</w:t>
      </w:r>
    </w:p>
    <w:p w:rsidR="00000000" w:rsidDel="00000000" w:rsidP="00000000" w:rsidRDefault="00000000" w:rsidRPr="00000000" w14:paraId="00000058">
      <w:pPr>
        <w:keepNext w:val="1"/>
        <w:spacing w:after="0" w:line="360" w:lineRule="auto"/>
        <w:ind w:right="7.2047244094488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Постановка задачи:</w:t>
      </w:r>
      <w:r w:rsidDel="00000000" w:rsidR="00000000" w:rsidRPr="00000000">
        <w:rPr>
          <w:rFonts w:ascii="Times New Roman" w:cs="Times New Roman" w:eastAsia="Times New Roman" w:hAnsi="Times New Roman"/>
          <w:sz w:val="28"/>
          <w:szCs w:val="28"/>
          <w:rtl w:val="0"/>
        </w:rPr>
        <w:t xml:space="preserve"> получить модель булевой функции (БФ) на основе однослойной НС (единичный нейрон = персептрон (рис. 1)) с двоичными входами 𝑥1,𝑥2,𝑥3,𝑥4∈{0,1}, единичным входом смещения 𝑥0=1, синаптическими весами 𝑤0, 𝑤1, 𝑤2, 𝑤3, 𝑤4, двоичным выходом 𝑦∈{0,1} и заданной нелинейной функцией активации (ФА) 𝑓:𝑅→(0,1). </w:t>
      </w:r>
    </w:p>
    <w:p w:rsidR="00000000" w:rsidDel="00000000" w:rsidP="00000000" w:rsidRDefault="00000000" w:rsidRPr="00000000" w14:paraId="0000005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заданной БФ реализовать обучение НС с использованием:</w:t>
      </w:r>
    </w:p>
    <w:p w:rsidR="00000000" w:rsidDel="00000000" w:rsidP="00000000" w:rsidRDefault="00000000" w:rsidRPr="00000000" w14:paraId="0000005B">
      <w:pPr>
        <w:numPr>
          <w:ilvl w:val="0"/>
          <w:numId w:val="1"/>
        </w:numPr>
        <w:spacing w:after="0" w:before="28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всех комбинаций переменных 𝑥1,𝑥2,𝑥3,𝑥4;</w:t>
      </w:r>
    </w:p>
    <w:p w:rsidR="00000000" w:rsidDel="00000000" w:rsidP="00000000" w:rsidRDefault="00000000" w:rsidRPr="00000000" w14:paraId="0000005C">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части возможных комбинаций переменных 𝑥1,𝑥2,𝑥3,𝑥4, остальные комбинации являются тестовыми.</w:t>
      </w:r>
    </w:p>
    <w:p w:rsidR="00000000" w:rsidDel="00000000" w:rsidP="00000000" w:rsidRDefault="00000000" w:rsidRPr="00000000" w14:paraId="0000005D">
      <w:pPr>
        <w:spacing w:after="0" w:line="360" w:lineRule="auto"/>
        <w:ind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3038475" cy="2771775"/>
            <wp:effectExtent b="0" l="0" r="0" t="0"/>
            <wp:docPr id="9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0384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360" w:lineRule="auto"/>
        <w:ind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Однослойная нейронная сеть (персептрон).</w:t>
      </w:r>
    </w:p>
    <w:p w:rsidR="00000000" w:rsidDel="00000000" w:rsidP="00000000" w:rsidRDefault="00000000" w:rsidRPr="00000000" w14:paraId="0000005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Режимы работы НС: рабочий режим и режим обучения.</w:t>
      </w:r>
    </w:p>
    <w:p w:rsidR="00000000" w:rsidDel="00000000" w:rsidP="00000000" w:rsidRDefault="00000000" w:rsidRPr="00000000" w14:paraId="00000061">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Рабочий режим</w:t>
      </w:r>
      <w:r w:rsidDel="00000000" w:rsidR="00000000" w:rsidRPr="00000000">
        <w:rPr>
          <w:rFonts w:ascii="Times New Roman" w:cs="Times New Roman" w:eastAsia="Times New Roman" w:hAnsi="Times New Roman"/>
          <w:sz w:val="28"/>
          <w:szCs w:val="28"/>
          <w:rtl w:val="0"/>
        </w:rPr>
        <w:t xml:space="preserve">: функционирование НС с пороговой ФА имеет вид:</w:t>
      </w:r>
    </w:p>
    <w:p w:rsidR="00000000" w:rsidDel="00000000" w:rsidP="00000000" w:rsidRDefault="00000000" w:rsidRPr="00000000" w14:paraId="00000063">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net=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i=1</m:t>
            </m:r>
          </m:sub>
          <m:sup>
            <m:r>
              <w:rPr>
                <w:rFonts w:ascii="Times New Roman" w:cs="Times New Roman" w:eastAsia="Times New Roman" w:hAnsi="Times New Roman"/>
                <w:sz w:val="28"/>
                <w:szCs w:val="28"/>
              </w:rPr>
              <m:t xml:space="preserve">4</m:t>
            </m:r>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0</m:t>
            </m:r>
          </m:sub>
        </m:sSub>
      </m:oMath>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rPr>
      </w:pPr>
      <m:oMath>
        <m:r>
          <w:rPr>
            <w:rFonts w:ascii="Times New Roman" w:cs="Times New Roman" w:eastAsia="Times New Roman" w:hAnsi="Times New Roman"/>
            <w:sz w:val="28"/>
            <w:szCs w:val="28"/>
          </w:rPr>
          <m:t xml:space="preserve">y</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net</m:t>
            </m:r>
          </m:e>
        </m:d>
        <m:r>
          <w:rPr>
            <w:rFonts w:ascii="Times New Roman" w:cs="Times New Roman" w:eastAsia="Times New Roman" w:hAnsi="Times New Roman"/>
            <w:sz w:val="28"/>
            <w:szCs w:val="28"/>
          </w:rPr>
          <m:t xml:space="preserve">=</m:t>
        </m:r>
        <m:r>
          <w:rPr>
            <w:rFonts w:ascii="Times New Roman" w:cs="Times New Roman" w:eastAsia="Times New Roman" w:hAnsi="Times New Roman"/>
          </w:rPr>
          <m:t xml:space="preserve">{</m:t>
        </m:r>
        <m:r>
          <w:rPr>
            <w:rFonts w:ascii="Times New Roman" w:cs="Times New Roman" w:eastAsia="Times New Roman" w:hAnsi="Times New Roman"/>
            <w:sz w:val="28"/>
            <w:szCs w:val="28"/>
          </w:rPr>
          <m:t xml:space="preserve">1,  net≥0;</m:t>
        </m:r>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0,  net&lt;0</m:t>
        </m:r>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65">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Функционирование НС с логистической ФА имеет вид:</w:t>
      </w:r>
    </w:p>
    <w:p w:rsidR="00000000" w:rsidDel="00000000" w:rsidP="00000000" w:rsidRDefault="00000000" w:rsidRPr="00000000" w14:paraId="00000067">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net=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i=1</m:t>
            </m:r>
          </m:sub>
          <m:sup>
            <m:r>
              <w:rPr>
                <w:rFonts w:ascii="Times New Roman" w:cs="Times New Roman" w:eastAsia="Times New Roman" w:hAnsi="Times New Roman"/>
                <w:sz w:val="28"/>
                <w:szCs w:val="28"/>
              </w:rPr>
              <m:t xml:space="preserve">4</m:t>
            </m:r>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0</m:t>
            </m:r>
          </m:sub>
        </m:sSub>
      </m:oMath>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out=f(net)</m:t>
        </m:r>
      </m:oMath>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y</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out</m:t>
            </m:r>
          </m:e>
        </m:d>
        <m:r>
          <w:rPr>
            <w:rFonts w:ascii="Times New Roman" w:cs="Times New Roman" w:eastAsia="Times New Roman" w:hAnsi="Times New Roman"/>
            <w:sz w:val="28"/>
            <w:szCs w:val="28"/>
          </w:rPr>
          <m:t xml:space="preserve">={1,  net≥0 0,  net&lt;0 </m:t>
        </m:r>
      </m:oMath>
      <w:r w:rsidDel="00000000" w:rsidR="00000000" w:rsidRPr="00000000">
        <w:rPr>
          <w:rtl w:val="0"/>
        </w:rPr>
      </w:r>
    </w:p>
    <w:p w:rsidR="00000000" w:rsidDel="00000000" w:rsidP="00000000" w:rsidRDefault="00000000" w:rsidRPr="00000000" w14:paraId="0000006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out — сетевой (недискретизированный) выход НС.</w:t>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Режим обучения: </w:t>
      </w:r>
      <w:r w:rsidDel="00000000" w:rsidR="00000000" w:rsidRPr="00000000">
        <w:rPr>
          <w:rFonts w:ascii="Times New Roman" w:cs="Times New Roman" w:eastAsia="Times New Roman" w:hAnsi="Times New Roman"/>
          <w:sz w:val="28"/>
          <w:szCs w:val="28"/>
          <w:rtl w:val="0"/>
        </w:rPr>
        <w:t xml:space="preserve">Для необученной НС её реальный выход y в общем случае отличается от целевого выхода – </w:t>
      </w:r>
      <m:oMath>
        <m:r>
          <w:rPr>
            <w:rFonts w:ascii="Times New Roman" w:cs="Times New Roman" w:eastAsia="Times New Roman" w:hAnsi="Times New Roman"/>
            <w:sz w:val="28"/>
            <w:szCs w:val="28"/>
          </w:rPr>
          <m:t xml:space="preserve">t</m:t>
        </m:r>
      </m:oMath>
      <w:r w:rsidDel="00000000" w:rsidR="00000000" w:rsidRPr="00000000">
        <w:rPr>
          <w:rFonts w:ascii="Times New Roman" w:cs="Times New Roman" w:eastAsia="Times New Roman" w:hAnsi="Times New Roman"/>
          <w:sz w:val="28"/>
          <w:szCs w:val="28"/>
          <w:rtl w:val="0"/>
        </w:rPr>
        <w:t xml:space="preserve"> - булевой функции нескольких переменных </w:t>
      </w:r>
      <m:oMath>
        <m:r>
          <w:rPr>
            <w:rFonts w:ascii="Times New Roman" w:cs="Times New Roman" w:eastAsia="Times New Roman" w:hAnsi="Times New Roman"/>
            <w:sz w:val="28"/>
            <w:szCs w:val="28"/>
          </w:rPr>
          <m:t xml:space="preserve">F</m:t>
        </m:r>
        <m:d>
          <m:dPr>
            <m:begChr m:val="("/>
            <m:endChr m:val=")"/>
            <m:ctrlPr>
              <w:rPr>
                <w:rFonts w:ascii="Times New Roman" w:cs="Times New Roman" w:eastAsia="Times New Roman" w:hAnsi="Times New Roman"/>
                <w:sz w:val="28"/>
                <w:szCs w:val="28"/>
              </w:rPr>
            </m:ctrlPr>
          </m:d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4</m:t>
                </m:r>
              </m:sub>
            </m:sSub>
          </m:e>
        </m:d>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0,1</m:t>
                </m:r>
              </m:e>
            </m:d>
          </m:e>
          <m:sup>
            <m:r>
              <w:rPr>
                <w:rFonts w:ascii="Times New Roman" w:cs="Times New Roman" w:eastAsia="Times New Roman" w:hAnsi="Times New Roman"/>
                <w:sz w:val="28"/>
                <w:szCs w:val="28"/>
              </w:rPr>
              <m:t xml:space="preserve">4</m:t>
            </m:r>
          </m:sup>
        </m:sSup>
        <m:r>
          <w:rPr>
            <w:rFonts w:ascii="Times New Roman" w:cs="Times New Roman" w:eastAsia="Times New Roman" w:hAnsi="Times New Roman"/>
            <w:sz w:val="28"/>
            <w:szCs w:val="28"/>
          </w:rPr>
          <m:t xml:space="preserve">→{0,1}</m:t>
        </m:r>
      </m:oMath>
      <w:r w:rsidDel="00000000" w:rsidR="00000000" w:rsidRPr="00000000">
        <w:rPr>
          <w:rFonts w:ascii="Times New Roman" w:cs="Times New Roman" w:eastAsia="Times New Roman" w:hAnsi="Times New Roman"/>
          <w:sz w:val="28"/>
          <w:szCs w:val="28"/>
          <w:rtl w:val="0"/>
        </w:rPr>
        <w:t xml:space="preserve">. Имеется хотя бы один набор сигналов (𝑥1,𝑥2,𝑥3,𝑥4), для которого ошибка </w:t>
      </w:r>
      <m:oMath>
        <m:r>
          <m:t>δ</m:t>
        </m:r>
        <m:r>
          <w:rPr>
            <w:rFonts w:ascii="Times New Roman" w:cs="Times New Roman" w:eastAsia="Times New Roman" w:hAnsi="Times New Roman"/>
            <w:sz w:val="28"/>
            <w:szCs w:val="28"/>
          </w:rPr>
          <m:t xml:space="preserve">=t-y≠0</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E">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эпоха обучения 𝑘 = 1, 2, … включает в себя цикл последовательного предъявления всех образцов обучающей выборки на вход НС. Предъявление одного обучающего образца внутри эпохи является элементарным шагом обучения 𝑙 = 0, 1, 2, … , во время которого вектор весовых коэффициентов 𝐰 = (𝑤𝑖)𝑖 = 0, …, 4 корректируется согласно правилу Видроу — Хоффа (дельта-правило):</w:t>
      </w:r>
    </w:p>
    <w:p w:rsidR="00000000" w:rsidDel="00000000" w:rsidP="00000000" w:rsidRDefault="00000000" w:rsidRPr="00000000" w14:paraId="0000006F">
      <w:pPr>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up>
            <m:r>
              <w:rPr>
                <w:rFonts w:ascii="Times New Roman" w:cs="Times New Roman" w:eastAsia="Times New Roman" w:hAnsi="Times New Roman"/>
                <w:sz w:val="28"/>
                <w:szCs w:val="28"/>
              </w:rPr>
              <m:t xml:space="preserve">(l+1)</m:t>
            </m:r>
          </m:sup>
        </m:sSubSup>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up>
            <m:r>
              <w:rPr>
                <w:rFonts w:ascii="Times New Roman" w:cs="Times New Roman" w:eastAsia="Times New Roman" w:hAnsi="Times New Roman"/>
                <w:sz w:val="28"/>
                <w:szCs w:val="28"/>
              </w:rPr>
              <m:t xml:space="preserve">(l)</m:t>
            </m:r>
          </m:sup>
        </m:sSubSup>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up>
            <m:r>
              <w:rPr>
                <w:rFonts w:ascii="Times New Roman" w:cs="Times New Roman" w:eastAsia="Times New Roman" w:hAnsi="Times New Roman"/>
                <w:sz w:val="28"/>
                <w:szCs w:val="28"/>
              </w:rPr>
              <m:t xml:space="preserve">(l)</m:t>
            </m:r>
          </m:sup>
        </m:sSubSup>
      </m:oMath>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up>
            <m:r>
              <w:rPr>
                <w:rFonts w:ascii="Times New Roman" w:cs="Times New Roman" w:eastAsia="Times New Roman" w:hAnsi="Times New Roman"/>
                <w:sz w:val="28"/>
                <w:szCs w:val="28"/>
              </w:rPr>
              <m:t xml:space="preserve">(l)</m:t>
            </m:r>
          </m:sup>
        </m:sSubSup>
        <m:r>
          <w:rPr>
            <w:rFonts w:ascii="Times New Roman" w:cs="Times New Roman" w:eastAsia="Times New Roman" w:hAnsi="Times New Roman"/>
            <w:sz w:val="28"/>
            <w:szCs w:val="28"/>
          </w:rPr>
          <m:t xml:space="preserve">=η</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δ</m:t>
            </m:r>
          </m:e>
          <m:sup>
            <m:r>
              <w:rPr>
                <w:rFonts w:ascii="Times New Roman" w:cs="Times New Roman" w:eastAsia="Times New Roman" w:hAnsi="Times New Roman"/>
                <w:sz w:val="28"/>
                <w:szCs w:val="28"/>
              </w:rPr>
              <m:t xml:space="preserve">(l)</m:t>
            </m:r>
          </m:sup>
        </m:sSup>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df</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net</m:t>
                </m:r>
              </m:e>
            </m:d>
          </m:num>
          <m:den>
            <m:r>
              <w:rPr>
                <w:rFonts w:ascii="Times New Roman" w:cs="Times New Roman" w:eastAsia="Times New Roman" w:hAnsi="Times New Roman"/>
                <w:sz w:val="28"/>
                <w:szCs w:val="28"/>
              </w:rPr>
              <m:t xml:space="preserve">dnet</m:t>
            </m:r>
          </m:den>
        </m:f>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i</m:t>
            </m:r>
          </m:sub>
          <m:sup>
            <m:r>
              <w:rPr>
                <w:rFonts w:ascii="Times New Roman" w:cs="Times New Roman" w:eastAsia="Times New Roman" w:hAnsi="Times New Roman"/>
                <w:sz w:val="28"/>
                <w:szCs w:val="28"/>
              </w:rPr>
              <m:t xml:space="preserve">(l)</m:t>
            </m:r>
          </m:sup>
        </m:sSubSup>
      </m:oMath>
      <w:r w:rsidDel="00000000" w:rsidR="00000000" w:rsidRPr="00000000">
        <w:rPr>
          <w:rtl w:val="0"/>
        </w:rPr>
      </w:r>
    </w:p>
    <w:p w:rsidR="00000000" w:rsidDel="00000000" w:rsidP="00000000" w:rsidRDefault="00000000" w:rsidRPr="00000000" w14:paraId="00000071">
      <w:pPr>
        <w:spacing w:after="0" w:line="360" w:lineRule="auto"/>
        <w:ind w:firstLine="708"/>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i</m:t>
            </m:r>
          </m:sub>
          <m:sup>
            <m:r>
              <w:rPr>
                <w:rFonts w:ascii="Times New Roman" w:cs="Times New Roman" w:eastAsia="Times New Roman" w:hAnsi="Times New Roman"/>
                <w:sz w:val="28"/>
                <w:szCs w:val="28"/>
              </w:rPr>
              <m:t xml:space="preserve">(l)</m:t>
            </m:r>
          </m:sup>
        </m:sSubSup>
      </m:oMath>
      <w:r w:rsidDel="00000000" w:rsidR="00000000" w:rsidRPr="00000000">
        <w:rPr>
          <w:rFonts w:ascii="Times New Roman" w:cs="Times New Roman" w:eastAsia="Times New Roman" w:hAnsi="Times New Roman"/>
          <w:sz w:val="28"/>
          <w:szCs w:val="28"/>
          <w:rtl w:val="0"/>
        </w:rPr>
        <w:t xml:space="preserve">– коррекция веса на l-том шаге;</w:t>
      </w:r>
    </w:p>
    <w:p w:rsidR="00000000" w:rsidDel="00000000" w:rsidP="00000000" w:rsidRDefault="00000000" w:rsidRPr="00000000" w14:paraId="00000072">
      <w:pPr>
        <w:spacing w:after="0" w:line="360" w:lineRule="auto"/>
        <w:ind w:firstLine="708"/>
        <w:jc w:val="both"/>
        <w:rPr>
          <w:rFonts w:ascii="Times New Roman" w:cs="Times New Roman" w:eastAsia="Times New Roman" w:hAnsi="Times New Roman"/>
          <w:sz w:val="28"/>
          <w:szCs w:val="28"/>
        </w:rPr>
      </w:pPr>
      <m:oMath>
        <m:r>
          <m:t>η</m:t>
        </m:r>
        <m:r>
          <w:rPr>
            <w:rFonts w:ascii="Times New Roman" w:cs="Times New Roman" w:eastAsia="Times New Roman" w:hAnsi="Times New Roman"/>
            <w:sz w:val="28"/>
            <w:szCs w:val="28"/>
          </w:rPr>
          <m:t xml:space="preserve">∈(0;1]</m:t>
        </m:r>
      </m:oMath>
      <w:r w:rsidDel="00000000" w:rsidR="00000000" w:rsidRPr="00000000">
        <w:rPr>
          <w:rFonts w:ascii="Times New Roman" w:cs="Times New Roman" w:eastAsia="Times New Roman" w:hAnsi="Times New Roman"/>
          <w:sz w:val="28"/>
          <w:szCs w:val="28"/>
          <w:rtl w:val="0"/>
        </w:rPr>
        <w:t xml:space="preserve"> – норма обучения;</w:t>
      </w:r>
    </w:p>
    <w:p w:rsidR="00000000" w:rsidDel="00000000" w:rsidP="00000000" w:rsidRDefault="00000000" w:rsidRPr="00000000" w14:paraId="00000073">
      <w:pPr>
        <w:spacing w:after="0" w:line="360" w:lineRule="auto"/>
        <w:ind w:firstLine="708"/>
        <w:jc w:val="both"/>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m:t>δ</m:t>
            </m:r>
          </m:e>
          <m:sup>
            <m:r>
              <w:rPr>
                <w:rFonts w:ascii="Times New Roman" w:cs="Times New Roman" w:eastAsia="Times New Roman" w:hAnsi="Times New Roman"/>
                <w:sz w:val="28"/>
                <w:szCs w:val="28"/>
              </w:rPr>
              <m:t xml:space="preserve">(l)</m:t>
            </m:r>
          </m:sup>
        </m:sSup>
      </m:oMath>
      <w:r w:rsidDel="00000000" w:rsidR="00000000" w:rsidRPr="00000000">
        <w:rPr>
          <w:rFonts w:ascii="Times New Roman" w:cs="Times New Roman" w:eastAsia="Times New Roman" w:hAnsi="Times New Roman"/>
          <w:sz w:val="28"/>
          <w:szCs w:val="28"/>
          <w:rtl w:val="0"/>
        </w:rPr>
        <w:t xml:space="preserve">- ошибка.</w:t>
      </w:r>
    </w:p>
    <w:p w:rsidR="00000000" w:rsidDel="00000000" w:rsidP="00000000" w:rsidRDefault="00000000" w:rsidRPr="00000000" w14:paraId="00000074">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каждой эпохе k суммарная квадратичная ошибка E(k) равна расстоянию Хэмминга между векторами целевого и реального выходов.</w:t>
      </w:r>
    </w:p>
    <w:p w:rsidR="00000000" w:rsidDel="00000000" w:rsidP="00000000" w:rsidRDefault="00000000" w:rsidRPr="00000000" w14:paraId="00000075">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Исходные данные:</w:t>
      </w:r>
    </w:p>
    <w:p w:rsidR="00000000" w:rsidDel="00000000" w:rsidP="00000000" w:rsidRDefault="00000000" w:rsidRPr="00000000" w14:paraId="00000077">
      <w:pPr>
        <w:spacing w:after="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2"/>
        <w:tblW w:w="9960.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0"/>
        <w:gridCol w:w="3630"/>
        <w:gridCol w:w="4920"/>
        <w:tblGridChange w:id="0">
          <w:tblGrid>
            <w:gridCol w:w="1410"/>
            <w:gridCol w:w="3630"/>
            <w:gridCol w:w="4920"/>
          </w:tblGrid>
        </w:tblGridChange>
      </w:tblGrid>
      <w:tr>
        <w:trPr>
          <w:cantSplit w:val="0"/>
          <w:trHeight w:val="582" w:hRule="atLeast"/>
          <w:tblHeader w:val="0"/>
        </w:trPr>
        <w:tc>
          <w:tcPr>
            <w:shd w:fill="002060" w:val="clear"/>
            <w:vAlign w:val="center"/>
          </w:tcPr>
          <w:p w:rsidR="00000000" w:rsidDel="00000000" w:rsidP="00000000" w:rsidRDefault="00000000" w:rsidRPr="00000000" w14:paraId="00000078">
            <w:pPr>
              <w:widowControl w:val="0"/>
              <w:spacing w:after="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 варианта</w:t>
            </w:r>
          </w:p>
        </w:tc>
        <w:tc>
          <w:tcPr>
            <w:shd w:fill="002060" w:val="clear"/>
            <w:vAlign w:val="center"/>
          </w:tcPr>
          <w:p w:rsidR="00000000" w:rsidDel="00000000" w:rsidP="00000000" w:rsidRDefault="00000000" w:rsidRPr="00000000" w14:paraId="00000079">
            <w:pPr>
              <w:widowControl w:val="0"/>
              <w:spacing w:after="60" w:lineRule="auto"/>
              <w:jc w:val="center"/>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Моделируемая БФ</w:t>
            </w:r>
            <w:r w:rsidDel="00000000" w:rsidR="00000000" w:rsidRPr="00000000">
              <w:rPr>
                <w:rtl w:val="0"/>
              </w:rPr>
            </w:r>
          </w:p>
        </w:tc>
        <w:tc>
          <w:tcPr>
            <w:shd w:fill="002060" w:val="clear"/>
            <w:vAlign w:val="center"/>
          </w:tcPr>
          <w:p w:rsidR="00000000" w:rsidDel="00000000" w:rsidP="00000000" w:rsidRDefault="00000000" w:rsidRPr="00000000" w14:paraId="0000007A">
            <w:pPr>
              <w:widowControl w:val="0"/>
              <w:spacing w:after="6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ФА*</w:t>
            </w:r>
          </w:p>
        </w:tc>
      </w:tr>
      <w:tr>
        <w:trPr>
          <w:cantSplit w:val="0"/>
          <w:trHeight w:val="582" w:hRule="atLeast"/>
          <w:tblHeader w:val="0"/>
        </w:trPr>
        <w:tc>
          <w:tcPr>
            <w:vMerge w:val="restart"/>
            <w:shd w:fill="auto" w:val="clear"/>
            <w:vAlign w:val="center"/>
          </w:tcPr>
          <w:p w:rsidR="00000000" w:rsidDel="00000000" w:rsidP="00000000" w:rsidRDefault="00000000" w:rsidRPr="00000000" w14:paraId="0000007B">
            <w:pPr>
              <w:widowControl w:val="0"/>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vMerge w:val="restart"/>
            <w:shd w:fill="auto" w:val="clear"/>
            <w:vAlign w:val="center"/>
          </w:tcPr>
          <w:p w:rsidR="00000000" w:rsidDel="00000000" w:rsidP="00000000" w:rsidRDefault="00000000" w:rsidRPr="00000000" w14:paraId="0000007C">
            <w:pPr>
              <w:jc w:val="center"/>
              <w:rPr>
                <w:rFonts w:ascii="Times New Roman" w:cs="Times New Roman" w:eastAsia="Times New Roman" w:hAnsi="Times New Roman"/>
                <w:sz w:val="28"/>
                <w:szCs w:val="28"/>
              </w:rPr>
            </w:pPr>
            <m:oMath>
              <m:d>
                <m:dPr>
                  <m:begChr m:val="("/>
                  <m:endChr m:val=")"/>
                  <m:ctrlPr>
                    <w:rPr>
                      <w:rFonts w:ascii="Times New Roman" w:cs="Times New Roman" w:eastAsia="Times New Roman" w:hAnsi="Times New Roman"/>
                      <w:sz w:val="28"/>
                      <w:szCs w:val="28"/>
                    </w:rPr>
                  </m:ctrlPr>
                </m:dPr>
                <m:e>
                  <m:bar>
                    <m:barPr>
                      <m:pos/>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e>
                  </m:bar>
                  <m:r>
                    <w:rPr>
                      <w:rFonts w:ascii="Times New Roman" w:cs="Times New Roman" w:eastAsia="Times New Roman" w:hAnsi="Times New Roman"/>
                      <w:sz w:val="28"/>
                      <w:szCs w:val="28"/>
                    </w:rPr>
                    <m:t xml:space="preserve">+</m:t>
                  </m:r>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e>
                  </m:bar>
                  <m:r>
                    <w:rPr>
                      <w:rFonts w:ascii="Times New Roman" w:cs="Times New Roman" w:eastAsia="Times New Roman" w:hAnsi="Times New Roman"/>
                      <w:sz w:val="28"/>
                      <w:szCs w:val="28"/>
                    </w:rPr>
                    <m:t xml:space="preserve">+</m:t>
                  </m:r>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e>
                  </m:bar>
                </m:e>
              </m:d>
              <m:d>
                <m:dPr>
                  <m:begChr m:val="("/>
                  <m:endChr m:val=")"/>
                  <m:ctrlPr>
                    <w:rPr>
                      <w:rFonts w:ascii="Times New Roman" w:cs="Times New Roman" w:eastAsia="Times New Roman" w:hAnsi="Times New Roman"/>
                      <w:sz w:val="28"/>
                      <w:szCs w:val="28"/>
                    </w:rPr>
                  </m:ctrlPr>
                </m:dPr>
                <m:e>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e>
                  </m:bar>
                  <m:r>
                    <w:rPr>
                      <w:rFonts w:ascii="Times New Roman" w:cs="Times New Roman" w:eastAsia="Times New Roman" w:hAnsi="Times New Roman"/>
                      <w:sz w:val="28"/>
                      <w:szCs w:val="28"/>
                    </w:rPr>
                    <m:t xml:space="preserve">+</m:t>
                  </m:r>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e>
                  </m:ba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4</m:t>
                      </m:r>
                    </m:sub>
                  </m:sSub>
                </m:e>
              </m:d>
            </m:oMath>
            <w:r w:rsidDel="00000000" w:rsidR="00000000" w:rsidRPr="00000000">
              <w:rPr>
                <w:rtl w:val="0"/>
              </w:rPr>
            </w:r>
          </w:p>
        </w:tc>
        <w:tc>
          <w:tcPr>
            <w:shd w:fill="auto" w:val="clear"/>
            <w:vAlign w:val="center"/>
          </w:tcPr>
          <w:p w:rsidR="00000000" w:rsidDel="00000000" w:rsidP="00000000" w:rsidRDefault="00000000" w:rsidRPr="00000000" w14:paraId="0000007D">
            <w:pPr>
              <w:widowControl w:val="0"/>
              <w:spacing w:after="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w:t>
            </w:r>
          </w:p>
        </w:tc>
      </w:tr>
      <w:tr>
        <w:trPr>
          <w:cantSplit w:val="0"/>
          <w:trHeight w:val="1498" w:hRule="atLeast"/>
          <w:tblHeader w:val="0"/>
        </w:trPr>
        <w:tc>
          <w:tcPr>
            <w:vMerge w:val="continue"/>
            <w:shd w:fill="auto" w:val="clear"/>
            <w:vAlign w:val="center"/>
          </w:tcPr>
          <w:p w:rsidR="00000000" w:rsidDel="00000000" w:rsidP="00000000" w:rsidRDefault="00000000" w:rsidRPr="00000000" w14:paraId="0000007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tc>
        <w:tc>
          <w:tcPr>
            <w:shd w:fill="auto" w:val="clear"/>
            <w:vAlign w:val="center"/>
          </w:tcPr>
          <w:p w:rsidR="00000000" w:rsidDel="00000000" w:rsidP="00000000" w:rsidRDefault="00000000" w:rsidRPr="00000000" w14:paraId="00000080">
            <w:pPr>
              <w:widowControl w:val="0"/>
              <w:spacing w:after="60" w:befor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1).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1</m:t>
                  </m:r>
                </m:sub>
              </m:sSub>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net</m:t>
                  </m:r>
                </m:e>
              </m:d>
              <m:r>
                <w:rPr>
                  <w:rFonts w:ascii="Times New Roman" w:cs="Times New Roman" w:eastAsia="Times New Roman" w:hAnsi="Times New Roman"/>
                  <w:sz w:val="28"/>
                  <w:szCs w:val="28"/>
                </w:rPr>
                <m:t xml:space="preserve">={1, net</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 0, net&lt;0; </m:t>
              </m:r>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2).</m:t>
              </m:r>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f</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net</m:t>
                  </m:r>
                </m:e>
              </m:d>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net</m:t>
                  </m:r>
                </m:num>
                <m:den>
                  <m:r>
                    <w:rPr>
                      <w:rFonts w:ascii="Times New Roman" w:cs="Times New Roman" w:eastAsia="Times New Roman" w:hAnsi="Times New Roman"/>
                      <w:sz w:val="28"/>
                      <w:szCs w:val="28"/>
                    </w:rPr>
                    <m:t xml:space="preserve">1+</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net</m:t>
                      </m:r>
                    </m:e>
                  </m:d>
                </m:den>
              </m:f>
              <m:r>
                <w:rPr>
                  <w:rFonts w:ascii="Times New Roman" w:cs="Times New Roman" w:eastAsia="Times New Roman" w:hAnsi="Times New Roman"/>
                  <w:sz w:val="28"/>
                  <w:szCs w:val="28"/>
                </w:rPr>
                <m:t xml:space="preserve">+1)</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1">
            <w:pPr>
              <w:widowControl w:val="0"/>
              <w:spacing w:after="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Ход решения</w:t>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Построим таблицу истинности заданной БФ:</w:t>
      </w:r>
    </w:p>
    <w:tbl>
      <w:tblPr>
        <w:tblStyle w:val="Table3"/>
        <w:tblW w:w="9975.0" w:type="dxa"/>
        <w:jc w:val="left"/>
        <w:tblInd w:w="-63.0" w:type="dxa"/>
        <w:tblBorders>
          <w:top w:color="000000" w:space="0" w:sz="4" w:val="single"/>
          <w:left w:color="000000" w:space="0" w:sz="4" w:val="single"/>
          <w:bottom w:color="000000" w:space="0" w:sz="4" w:val="single"/>
          <w:right w:color="000000" w:space="0" w:sz="4" w:val="single"/>
        </w:tblBorders>
        <w:tblLayout w:type="fixed"/>
        <w:tblLook w:val="0400"/>
      </w:tblPr>
      <w:tblGrid>
        <w:gridCol w:w="345"/>
        <w:gridCol w:w="345"/>
        <w:gridCol w:w="345"/>
        <w:gridCol w:w="345"/>
        <w:gridCol w:w="345"/>
        <w:gridCol w:w="645"/>
        <w:gridCol w:w="645"/>
        <w:gridCol w:w="645"/>
        <w:gridCol w:w="1635"/>
        <w:gridCol w:w="1635"/>
        <w:gridCol w:w="3045"/>
        <w:tblGridChange w:id="0">
          <w:tblGrid>
            <w:gridCol w:w="345"/>
            <w:gridCol w:w="345"/>
            <w:gridCol w:w="345"/>
            <w:gridCol w:w="345"/>
            <w:gridCol w:w="345"/>
            <w:gridCol w:w="645"/>
            <w:gridCol w:w="645"/>
            <w:gridCol w:w="645"/>
            <w:gridCol w:w="1635"/>
            <w:gridCol w:w="1635"/>
            <w:gridCol w:w="3045"/>
          </w:tblGrid>
        </w:tblGridChange>
      </w:tblGrid>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7">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8">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9">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A">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B">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C">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D">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E">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1</w:t>
            </w:r>
            <w:sdt>
              <w:sdtPr>
                <w:tag w:val="goog_rdk_0"/>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2</w:t>
            </w:r>
            <w:sdt>
              <w:sdtPr>
                <w:tag w:val="goog_rdk_1"/>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8F">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2</w:t>
            </w:r>
            <w:sdt>
              <w:sdtPr>
                <w:tag w:val="goog_rdk_2"/>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3</w:t>
            </w:r>
            <w:sdt>
              <w:sdtPr>
                <w:tag w:val="goog_rdk_3"/>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3.0" w:type="dxa"/>
              <w:left w:w="63.0" w:type="dxa"/>
              <w:bottom w:w="0.0" w:type="dxa"/>
              <w:right w:w="63.0" w:type="dxa"/>
            </w:tcMar>
            <w:vAlign w:val="center"/>
          </w:tcPr>
          <w:p w:rsidR="00000000" w:rsidDel="00000000" w:rsidP="00000000" w:rsidRDefault="00000000" w:rsidRPr="00000000" w14:paraId="00000090">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b w:val="1"/>
                <w:sz w:val="20"/>
                <w:szCs w:val="20"/>
                <w:vertAlign w:val="subscript"/>
                <w:rtl w:val="0"/>
              </w:rPr>
              <w:t xml:space="preserve">1</w:t>
            </w:r>
            <w:sdt>
              <w:sdtPr>
                <w:tag w:val="goog_rdk_4"/>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2</w:t>
            </w:r>
            <w:sdt>
              <w:sdtPr>
                <w:tag w:val="goog_rdk_5"/>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3</w:t>
            </w:r>
            <w:sdt>
              <w:sdtPr>
                <w:tag w:val="goog_rdk_6"/>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2</w:t>
            </w:r>
            <w:sdt>
              <w:sdtPr>
                <w:tag w:val="goog_rdk_7"/>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3</w:t>
            </w:r>
            <w:sdt>
              <w:sdtPr>
                <w:tag w:val="goog_rdk_8"/>
              </w:sdtPr>
              <w:sdtContent>
                <w:r w:rsidDel="00000000" w:rsidR="00000000" w:rsidRPr="00000000">
                  <w:rPr>
                    <w:rFonts w:ascii="Gungsuh" w:cs="Gungsuh" w:eastAsia="Gungsuh" w:hAnsi="Gungsuh"/>
                    <w:b w:val="1"/>
                    <w:sz w:val="20"/>
                    <w:szCs w:val="20"/>
                    <w:rtl w:val="0"/>
                  </w:rPr>
                  <w:t xml:space="preserve">∨X</w:t>
                </w:r>
              </w:sdtContent>
            </w:sdt>
            <w:r w:rsidDel="00000000" w:rsidR="00000000" w:rsidRPr="00000000">
              <w:rPr>
                <w:rFonts w:ascii="Times New Roman" w:cs="Times New Roman" w:eastAsia="Times New Roman" w:hAnsi="Times New Roman"/>
                <w:b w:val="1"/>
                <w:sz w:val="20"/>
                <w:szCs w:val="20"/>
                <w:vertAlign w:val="subscript"/>
                <w:rtl w:val="0"/>
              </w:rPr>
              <w:t xml:space="preserve">4</w:t>
            </w:r>
            <w:r w:rsidDel="00000000" w:rsidR="00000000" w:rsidRPr="00000000">
              <w:rPr>
                <w:rFonts w:ascii="Times New Roman" w:cs="Times New Roman" w:eastAsia="Times New Roman" w:hAnsi="Times New Roman"/>
                <w:b w:val="1"/>
                <w:sz w:val="20"/>
                <w:szCs w:val="20"/>
                <w:rtl w:val="0"/>
              </w:rPr>
              <w:t xml:space="preserve">)</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9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9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9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9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9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9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9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9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9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A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A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A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A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A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A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A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A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A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A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A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A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A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A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B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B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B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B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B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B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B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B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B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B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B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B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B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B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C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C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C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C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C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C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C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C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C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C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C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C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C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C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C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D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D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D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D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D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D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D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D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D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D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D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D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D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D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E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E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E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E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E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E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E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E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E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E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E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E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E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E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E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F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F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F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F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F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F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F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0F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F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F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0F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F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0F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0F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0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0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0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0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0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0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0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0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0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10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0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0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0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0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0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1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1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11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1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1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1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1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1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1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1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1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1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11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2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2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2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2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2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26">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2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2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2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12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2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2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2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2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3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31">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32">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33">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34">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135">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r>
      <w:tr>
        <w:trPr>
          <w:cantSplit w:val="0"/>
          <w:trHeight w:val="290.58708639705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37">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38">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39">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d7e3bc" w:val="clear"/>
            <w:tcMar>
              <w:top w:w="0.0" w:type="dxa"/>
              <w:left w:w="63.0" w:type="dxa"/>
              <w:bottom w:w="0.0" w:type="dxa"/>
              <w:right w:w="63.0" w:type="dxa"/>
            </w:tcMar>
            <w:vAlign w:val="center"/>
          </w:tcPr>
          <w:p w:rsidR="00000000" w:rsidDel="00000000" w:rsidP="00000000" w:rsidRDefault="00000000" w:rsidRPr="00000000" w14:paraId="0000013A">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3B">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3C">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e5b9b7" w:val="clear"/>
            <w:tcMar>
              <w:top w:w="0.0" w:type="dxa"/>
              <w:left w:w="63.0" w:type="dxa"/>
              <w:bottom w:w="0.0" w:type="dxa"/>
              <w:right w:w="63.0" w:type="dxa"/>
            </w:tcMar>
            <w:vAlign w:val="center"/>
          </w:tcPr>
          <w:p w:rsidR="00000000" w:rsidDel="00000000" w:rsidP="00000000" w:rsidRDefault="00000000" w:rsidRPr="00000000" w14:paraId="0000013D">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3E">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shd w:fill="fff2cc" w:val="clear"/>
            <w:tcMar>
              <w:top w:w="0.0" w:type="dxa"/>
              <w:left w:w="63.0" w:type="dxa"/>
              <w:bottom w:w="0.0" w:type="dxa"/>
              <w:right w:w="63.0" w:type="dxa"/>
            </w:tcMar>
            <w:vAlign w:val="center"/>
          </w:tcPr>
          <w:p w:rsidR="00000000" w:rsidDel="00000000" w:rsidP="00000000" w:rsidRDefault="00000000" w:rsidRPr="00000000" w14:paraId="0000013F">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b7dde8" w:val="clear"/>
            <w:tcMar>
              <w:top w:w="0.0" w:type="dxa"/>
              <w:left w:w="63.0" w:type="dxa"/>
              <w:bottom w:w="0.0" w:type="dxa"/>
              <w:right w:w="63.0" w:type="dxa"/>
            </w:tcMar>
            <w:vAlign w:val="center"/>
          </w:tcPr>
          <w:p w:rsidR="00000000" w:rsidDel="00000000" w:rsidP="00000000" w:rsidRDefault="00000000" w:rsidRPr="00000000" w14:paraId="00000140">
            <w:pPr>
              <w:spacing w:after="0" w:line="240" w:lineRule="auto"/>
              <w:jc w:val="center"/>
              <w:rPr>
                <w:rFonts w:ascii="Times New Roman" w:cs="Times New Roman" w:eastAsia="Times New Roman" w:hAnsi="Times New Roman"/>
                <w:b w:val="1"/>
                <w:color w:val="14191e"/>
                <w:sz w:val="20"/>
                <w:szCs w:val="20"/>
              </w:rPr>
            </w:pPr>
            <w:r w:rsidDel="00000000" w:rsidR="00000000" w:rsidRPr="00000000">
              <w:rPr>
                <w:rFonts w:ascii="Times New Roman" w:cs="Times New Roman" w:eastAsia="Times New Roman" w:hAnsi="Times New Roman"/>
                <w:b w:val="1"/>
                <w:color w:val="14191e"/>
                <w:sz w:val="20"/>
                <w:szCs w:val="20"/>
                <w:rtl w:val="0"/>
              </w:rPr>
              <w:t xml:space="preserve">0</w:t>
            </w:r>
          </w:p>
        </w:tc>
      </w:tr>
    </w:tbl>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Практическое решение исполнено при помощи Microsoft Visual Studio 2017 на языке C++. </w:t>
      </w:r>
      <w:r w:rsidDel="00000000" w:rsidR="00000000" w:rsidRPr="00000000">
        <w:rPr>
          <w:rtl w:val="0"/>
        </w:rPr>
      </w:r>
    </w:p>
    <w:p w:rsidR="00000000" w:rsidDel="00000000" w:rsidP="00000000" w:rsidRDefault="00000000" w:rsidRPr="00000000" w14:paraId="00000143">
      <w:pPr>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Вектор начальных весов взят равным (l=0; k=0):</w:t>
      </w:r>
    </w:p>
    <w:p w:rsidR="00000000" w:rsidDel="00000000" w:rsidP="00000000" w:rsidRDefault="00000000" w:rsidRPr="00000000" w14:paraId="00000144">
      <w:pPr>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0</m:t>
            </m:r>
          </m:sub>
          <m:sup>
            <m:r>
              <w:rPr>
                <w:rFonts w:ascii="Times New Roman" w:cs="Times New Roman" w:eastAsia="Times New Roman" w:hAnsi="Times New Roman"/>
                <w:sz w:val="28"/>
                <w:szCs w:val="28"/>
              </w:rPr>
              <m:t xml:space="preserve">(0)</m:t>
            </m:r>
          </m:sup>
        </m:sSubSup>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1</m:t>
            </m:r>
          </m:sub>
          <m:sup>
            <m:r>
              <w:rPr>
                <w:rFonts w:ascii="Times New Roman" w:cs="Times New Roman" w:eastAsia="Times New Roman" w:hAnsi="Times New Roman"/>
                <w:sz w:val="28"/>
                <w:szCs w:val="28"/>
              </w:rPr>
              <m:t xml:space="preserve">(0)</m:t>
            </m:r>
          </m:sup>
        </m:sSubSup>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2</m:t>
            </m:r>
          </m:sub>
          <m:sup>
            <m:r>
              <w:rPr>
                <w:rFonts w:ascii="Times New Roman" w:cs="Times New Roman" w:eastAsia="Times New Roman" w:hAnsi="Times New Roman"/>
                <w:sz w:val="28"/>
                <w:szCs w:val="28"/>
              </w:rPr>
              <m:t xml:space="preserve">(0)</m:t>
            </m:r>
          </m:sup>
        </m:sSubSup>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3</m:t>
            </m:r>
          </m:sub>
          <m:sup>
            <m:r>
              <w:rPr>
                <w:rFonts w:ascii="Times New Roman" w:cs="Times New Roman" w:eastAsia="Times New Roman" w:hAnsi="Times New Roman"/>
                <w:sz w:val="28"/>
                <w:szCs w:val="28"/>
              </w:rPr>
              <m:t xml:space="preserve">(0)</m:t>
            </m:r>
          </m:sup>
        </m:sSubSup>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4</m:t>
            </m:r>
          </m:sub>
          <m:sup>
            <m:r>
              <w:rPr>
                <w:rFonts w:ascii="Times New Roman" w:cs="Times New Roman" w:eastAsia="Times New Roman" w:hAnsi="Times New Roman"/>
                <w:sz w:val="28"/>
                <w:szCs w:val="28"/>
              </w:rPr>
              <m:t xml:space="preserve">(0)</m:t>
            </m:r>
          </m:sup>
        </m:sSubSup>
        <m:r>
          <w:rPr>
            <w:rFonts w:ascii="Times New Roman" w:cs="Times New Roman" w:eastAsia="Times New Roman" w:hAnsi="Times New Roman"/>
            <w:sz w:val="28"/>
            <w:szCs w:val="28"/>
          </w:rPr>
          <m:t xml:space="preserve">=0</m:t>
        </m:r>
      </m:oMath>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Используем пороговую функцию активации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1</m:t>
            </m:r>
          </m:sub>
        </m:sSub>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net</m:t>
            </m:r>
          </m:e>
        </m:d>
      </m:oMath>
      <w:r w:rsidDel="00000000" w:rsidR="00000000" w:rsidRPr="00000000">
        <w:rPr>
          <w:rFonts w:ascii="Times New Roman" w:cs="Times New Roman" w:eastAsia="Times New Roman" w:hAnsi="Times New Roman"/>
          <w:sz w:val="28"/>
          <w:szCs w:val="28"/>
          <w:rtl w:val="0"/>
        </w:rPr>
        <w:t xml:space="preserve">. Норма обучения взята </w:t>
      </w:r>
      <m:oMath>
        <m:r>
          <m:t>η</m:t>
        </m:r>
        <m:r>
          <w:rPr>
            <w:rFonts w:ascii="Times New Roman" w:cs="Times New Roman" w:eastAsia="Times New Roman" w:hAnsi="Times New Roman"/>
            <w:sz w:val="28"/>
            <w:szCs w:val="28"/>
          </w:rPr>
          <m:t xml:space="preserve">=0.3</m:t>
        </m:r>
      </m:oMath>
      <w:r w:rsidDel="00000000" w:rsidR="00000000" w:rsidRPr="00000000">
        <w:rPr>
          <w:rFonts w:ascii="Times New Roman" w:cs="Times New Roman" w:eastAsia="Times New Roman" w:hAnsi="Times New Roman"/>
          <w:sz w:val="28"/>
          <w:szCs w:val="28"/>
          <w:rtl w:val="0"/>
        </w:rPr>
        <w:t xml:space="preserve">. Динамика персептрона отражена на рисунках 2.2-2.6. График суммарной ошибки отражен на рисунке 2.7.</w:t>
      </w:r>
    </w:p>
    <w:tbl>
      <w:tblPr>
        <w:tblStyle w:val="Table4"/>
        <w:tblW w:w="10170.0" w:type="dxa"/>
        <w:jc w:val="left"/>
        <w:tblInd w:w="-325.9999999999999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60"/>
        <w:gridCol w:w="5010"/>
        <w:tblGridChange w:id="0">
          <w:tblGrid>
            <w:gridCol w:w="5160"/>
            <w:gridCol w:w="5010"/>
          </w:tblGrid>
        </w:tblGridChange>
      </w:tblGrid>
      <w:tr>
        <w:trPr>
          <w:cantSplit w:val="0"/>
          <w:tblHeader w:val="0"/>
        </w:trPr>
        <w:tc>
          <w:tcPr/>
          <w:p w:rsidR="00000000" w:rsidDel="00000000" w:rsidP="00000000" w:rsidRDefault="00000000" w:rsidRPr="00000000" w14:paraId="00000146">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3250" cy="2857500"/>
                  <wp:effectExtent b="0" l="0" r="0" t="0"/>
                  <wp:docPr id="8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1432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Параметры НС на эпохе 1</w:t>
            </w:r>
          </w:p>
          <w:p w:rsidR="00000000" w:rsidDel="00000000" w:rsidP="00000000" w:rsidRDefault="00000000" w:rsidRPr="00000000" w14:paraId="0000014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9">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8000" cy="2794000"/>
                  <wp:effectExtent b="0" l="0" r="0" t="0"/>
                  <wp:docPr id="7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4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Параметры НС на эпохе 2</w:t>
            </w:r>
          </w:p>
          <w:p w:rsidR="00000000" w:rsidDel="00000000" w:rsidP="00000000" w:rsidRDefault="00000000" w:rsidRPr="00000000" w14:paraId="0000014B">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4C">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3250" cy="2882900"/>
                  <wp:effectExtent b="0" l="0" r="0" t="0"/>
                  <wp:docPr id="9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1432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Параметры НС на эпохе 3</w:t>
            </w:r>
          </w:p>
          <w:p w:rsidR="00000000" w:rsidDel="00000000" w:rsidP="00000000" w:rsidRDefault="00000000" w:rsidRPr="00000000" w14:paraId="0000014E">
            <w:pPr>
              <w:keepNext w:val="1"/>
              <w:spacing w:after="0" w:line="36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F">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8000" cy="2832100"/>
                  <wp:effectExtent b="0" l="0" r="0" t="0"/>
                  <wp:docPr id="9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048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 Параметры НС на эпохе 29</w:t>
            </w:r>
          </w:p>
          <w:p w:rsidR="00000000" w:rsidDel="00000000" w:rsidP="00000000" w:rsidRDefault="00000000" w:rsidRPr="00000000" w14:paraId="00000151">
            <w:pPr>
              <w:keepNext w:val="1"/>
              <w:spacing w:after="0" w:line="3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2">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1875" cy="3343275"/>
            <wp:effectExtent b="0" l="0" r="0" t="0"/>
            <wp:docPr id="9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5718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2.6. Параметры НС на эпохе 30</w:t>
      </w:r>
    </w:p>
    <w:p w:rsidR="00000000" w:rsidDel="00000000" w:rsidP="00000000" w:rsidRDefault="00000000" w:rsidRPr="00000000" w14:paraId="000001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Итоговый весовой вектор:</w:t>
      </w:r>
    </w:p>
    <w:p w:rsidR="00000000" w:rsidDel="00000000" w:rsidP="00000000" w:rsidRDefault="00000000" w:rsidRPr="00000000" w14:paraId="00000155">
      <w:pPr>
        <w:jc w:val="center"/>
        <w:rPr>
          <w:rFonts w:ascii="Times New Roman" w:cs="Times New Roman" w:eastAsia="Times New Roman" w:hAnsi="Times New Roman"/>
          <w:sz w:val="28"/>
          <w:szCs w:val="28"/>
        </w:rPr>
      </w:pPr>
      <m:oMath>
        <m:acc>
          <m:accPr>
            <m:chr m:val="⃗"/>
            <m:ctrlPr>
              <w:rPr>
                <w:rFonts w:ascii="Times New Roman" w:cs="Times New Roman" w:eastAsia="Times New Roman" w:hAnsi="Times New Roman"/>
                <w:sz w:val="28"/>
                <w:szCs w:val="28"/>
              </w:rPr>
            </m:ctrlPr>
          </m:accPr>
          <m:e>
            <m:r>
              <w:rPr>
                <w:rFonts w:ascii="Times New Roman" w:cs="Times New Roman" w:eastAsia="Times New Roman" w:hAnsi="Times New Roman"/>
                <w:sz w:val="28"/>
                <w:szCs w:val="28"/>
              </w:rPr>
              <m:t xml:space="preserve">w</m:t>
            </m:r>
          </m:e>
        </m:acc>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0</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)=(1.8;-0.9;-1.8;-1.2; 0.9)</m:t>
        </m:r>
      </m:oMath>
      <w:r w:rsidDel="00000000" w:rsidR="00000000" w:rsidRPr="00000000">
        <w:rPr>
          <w:rtl w:val="0"/>
        </w:rPr>
      </w:r>
    </w:p>
    <w:p w:rsidR="00000000" w:rsidDel="00000000" w:rsidP="00000000" w:rsidRDefault="00000000" w:rsidRPr="00000000" w14:paraId="0000015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keepNext w:val="1"/>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3340" cy="3771900"/>
            <wp:effectExtent b="0" l="0" r="0" t="0"/>
            <wp:docPr descr="Диаграмма" id="107" name="image31.png">
              <a:extLst>
                <a:ext uri="http://customooxmlschemas.google.com/">
                  <go:docsCustomData xmlns:go="http://customooxmlschemas.google.com/" roundtripId="9"/>
                </a:ext>
              </a:extLst>
            </wp:docPr>
            <a:graphic>
              <a:graphicData uri="http://schemas.openxmlformats.org/drawingml/2006/picture">
                <pic:pic>
                  <pic:nvPicPr>
                    <pic:cNvPr descr="Диаграмма" id="0" name="image31.png"/>
                    <pic:cNvPicPr preferRelativeResize="0"/>
                  </pic:nvPicPr>
                  <pic:blipFill>
                    <a:blip r:embed="rId21"/>
                    <a:srcRect b="0" l="0" r="0" t="0"/>
                    <a:stretch>
                      <a:fillRect/>
                    </a:stretch>
                  </pic:blipFill>
                  <pic:spPr>
                    <a:xfrm>
                      <a:off x="0" y="0"/>
                      <a:ext cx="61133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Суммарная ошибка при пороговой ФА </w:t>
      </w:r>
      <m:oMath>
        <m:r>
          <w:rPr>
            <w:rFonts w:ascii="Times New Roman" w:cs="Times New Roman" w:eastAsia="Times New Roman" w:hAnsi="Times New Roman"/>
            <w:b w:val="1"/>
            <w:sz w:val="28"/>
            <w:szCs w:val="28"/>
          </w:rPr>
          <m:t xml:space="preserve">(</m:t>
        </m:r>
        <m:sSub>
          <m:sSubPr>
            <m:ctrlPr>
              <w:rPr>
                <w:rFonts w:ascii="Times New Roman" w:cs="Times New Roman" w:eastAsia="Times New Roman" w:hAnsi="Times New Roman"/>
                <w:b w:val="1"/>
                <w:sz w:val="28"/>
                <w:szCs w:val="28"/>
              </w:rPr>
            </m:ctrlPr>
          </m:sSubPr>
          <m:e>
            <m:r>
              <w:rPr>
                <w:rFonts w:ascii="Times New Roman" w:cs="Times New Roman" w:eastAsia="Times New Roman" w:hAnsi="Times New Roman"/>
                <w:b w:val="1"/>
                <w:sz w:val="28"/>
                <w:szCs w:val="28"/>
              </w:rPr>
              <m:t xml:space="preserve">f</m:t>
            </m:r>
          </m:e>
          <m:sub>
            <m:r>
              <w:rPr>
                <w:rFonts w:ascii="Times New Roman" w:cs="Times New Roman" w:eastAsia="Times New Roman" w:hAnsi="Times New Roman"/>
                <w:b w:val="1"/>
                <w:sz w:val="28"/>
                <w:szCs w:val="28"/>
              </w:rPr>
              <m:t xml:space="preserve">1</m:t>
            </m:r>
          </m:sub>
        </m:sSub>
        <m:d>
          <m:dPr>
            <m:begChr m:val="("/>
            <m:endChr m:val=")"/>
            <m:ctrlPr>
              <w:rPr>
                <w:rFonts w:ascii="Times New Roman" w:cs="Times New Roman" w:eastAsia="Times New Roman" w:hAnsi="Times New Roman"/>
                <w:b w:val="1"/>
                <w:sz w:val="28"/>
                <w:szCs w:val="28"/>
              </w:rPr>
            </m:ctrlPr>
          </m:dPr>
          <m:e>
            <m:r>
              <w:rPr>
                <w:rFonts w:ascii="Times New Roman" w:cs="Times New Roman" w:eastAsia="Times New Roman" w:hAnsi="Times New Roman"/>
                <w:b w:val="1"/>
                <w:sz w:val="28"/>
                <w:szCs w:val="28"/>
              </w:rPr>
              <m:t xml:space="preserve">net</m:t>
            </m:r>
          </m:e>
        </m:d>
        <m:r>
          <w:rPr>
            <w:rFonts w:ascii="Times New Roman" w:cs="Times New Roman" w:eastAsia="Times New Roman" w:hAnsi="Times New Roman"/>
            <w:b w:val="1"/>
            <w:sz w:val="28"/>
            <w:szCs w:val="28"/>
          </w:rPr>
          <m:t xml:space="preserve">)</m:t>
        </m:r>
      </m:oMath>
      <w:r w:rsidDel="00000000" w:rsidR="00000000" w:rsidRPr="00000000">
        <w:rPr>
          <w:rtl w:val="0"/>
        </w:rPr>
      </w:r>
    </w:p>
    <w:p w:rsidR="00000000" w:rsidDel="00000000" w:rsidP="00000000" w:rsidRDefault="00000000" w:rsidRPr="00000000" w14:paraId="0000015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Аналогичные таблицы (Рисунок. 2.8-2.10) построим для функции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m:t>
            </m:r>
          </m:sub>
        </m:sSub>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net</m:t>
            </m:r>
          </m:e>
        </m:d>
      </m:oMath>
      <w:r w:rsidDel="00000000" w:rsidR="00000000" w:rsidRPr="00000000">
        <w:rPr>
          <w:rFonts w:ascii="Times New Roman" w:cs="Times New Roman" w:eastAsia="Times New Roman" w:hAnsi="Times New Roman"/>
          <w:sz w:val="28"/>
          <w:szCs w:val="28"/>
          <w:rtl w:val="0"/>
        </w:rPr>
        <w:t xml:space="preserve">. График суммарной ошибки отражен на рисунке 2.11.</w:t>
      </w:r>
    </w:p>
    <w:p w:rsidR="00000000" w:rsidDel="00000000" w:rsidP="00000000" w:rsidRDefault="00000000" w:rsidRPr="00000000" w14:paraId="0000015B">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0250" cy="3324225"/>
            <wp:effectExtent b="0" l="0" r="0" t="0"/>
            <wp:docPr id="10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8102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2.8. Параметры НС на эпохе 1</w:t>
      </w:r>
    </w:p>
    <w:p w:rsidR="00000000" w:rsidDel="00000000" w:rsidP="00000000" w:rsidRDefault="00000000" w:rsidRPr="00000000" w14:paraId="000001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6925" cy="3228975"/>
            <wp:effectExtent b="0" l="0" r="0" t="0"/>
            <wp:docPr id="8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8769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2.9. Параметры НС на эпохе 2</w:t>
      </w:r>
    </w:p>
    <w:p w:rsidR="00000000" w:rsidDel="00000000" w:rsidP="00000000" w:rsidRDefault="00000000" w:rsidRPr="00000000" w14:paraId="00000160">
      <w:pPr>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8350" cy="3238500"/>
            <wp:effectExtent b="0" l="0" r="0" t="0"/>
            <wp:docPr id="8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8483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2.10. Параметры НС на эпохе 5</w:t>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Итоговый весовой вектор:</w:t>
      </w:r>
    </w:p>
    <w:p w:rsidR="00000000" w:rsidDel="00000000" w:rsidP="00000000" w:rsidRDefault="00000000" w:rsidRPr="00000000" w14:paraId="00000164">
      <w:pPr>
        <w:jc w:val="center"/>
        <w:rPr>
          <w:rFonts w:ascii="Times New Roman" w:cs="Times New Roman" w:eastAsia="Times New Roman" w:hAnsi="Times New Roman"/>
          <w:sz w:val="28"/>
          <w:szCs w:val="28"/>
        </w:rPr>
      </w:pPr>
      <m:oMath>
        <m:acc>
          <m:accPr>
            <m:chr m:val="⃗"/>
            <m:ctrlPr>
              <w:rPr>
                <w:rFonts w:ascii="Times New Roman" w:cs="Times New Roman" w:eastAsia="Times New Roman" w:hAnsi="Times New Roman"/>
                <w:sz w:val="28"/>
                <w:szCs w:val="28"/>
              </w:rPr>
            </m:ctrlPr>
          </m:accPr>
          <m:e>
            <m:r>
              <w:rPr>
                <w:rFonts w:ascii="Times New Roman" w:cs="Times New Roman" w:eastAsia="Times New Roman" w:hAnsi="Times New Roman"/>
                <w:sz w:val="28"/>
                <w:szCs w:val="28"/>
              </w:rPr>
              <m:t xml:space="preserve">w</m:t>
            </m:r>
          </m:e>
        </m:acc>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0</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)=(-0.3375; -0.15;-0.3375;-0.3375; 0.1125)</m:t>
        </m:r>
      </m:oMath>
      <w:r w:rsidDel="00000000" w:rsidR="00000000" w:rsidRPr="00000000">
        <w:rPr>
          <w:rtl w:val="0"/>
        </w:rPr>
      </w:r>
    </w:p>
    <w:p w:rsidR="00000000" w:rsidDel="00000000" w:rsidP="00000000" w:rsidRDefault="00000000" w:rsidRPr="00000000" w14:paraId="0000016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tabs>
          <w:tab w:val="left" w:pos="2612"/>
        </w:tabs>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114300" distT="114300" distL="114300" distR="114300">
            <wp:extent cx="6113340" cy="3771900"/>
            <wp:effectExtent b="0" l="0" r="0" t="0"/>
            <wp:docPr descr="Диаграмма" id="111" name="image33.png"/>
            <a:graphic>
              <a:graphicData uri="http://schemas.openxmlformats.org/drawingml/2006/picture">
                <pic:pic>
                  <pic:nvPicPr>
                    <pic:cNvPr descr="Диаграмма" id="0" name="image33.png"/>
                    <pic:cNvPicPr preferRelativeResize="0"/>
                  </pic:nvPicPr>
                  <pic:blipFill>
                    <a:blip r:embed="rId25"/>
                    <a:srcRect b="0" l="0" r="0" t="0"/>
                    <a:stretch>
                      <a:fillRect/>
                    </a:stretch>
                  </pic:blipFill>
                  <pic:spPr>
                    <a:xfrm>
                      <a:off x="0" y="0"/>
                      <a:ext cx="61133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2.11. Суммарная ошибка при </w:t>
      </w:r>
      <w:r w:rsidDel="00000000" w:rsidR="00000000" w:rsidRPr="00000000">
        <w:rPr>
          <w:rFonts w:ascii="Times New Roman" w:cs="Times New Roman" w:eastAsia="Times New Roman" w:hAnsi="Times New Roman"/>
          <w:sz w:val="28"/>
          <w:szCs w:val="28"/>
          <w:highlight w:val="white"/>
          <w:rtl w:val="0"/>
        </w:rPr>
        <w:t xml:space="preserve">логистической</w:t>
      </w:r>
      <w:r w:rsidDel="00000000" w:rsidR="00000000" w:rsidRPr="00000000">
        <w:rPr>
          <w:rFonts w:ascii="Times New Roman" w:cs="Times New Roman" w:eastAsia="Times New Roman" w:hAnsi="Times New Roman"/>
          <w:sz w:val="28"/>
          <w:szCs w:val="28"/>
          <w:rtl w:val="0"/>
        </w:rPr>
        <w:t xml:space="preserve"> ФА </w:t>
      </w:r>
      <m:oMath>
        <m:r>
          <w:rPr>
            <w:rFonts w:ascii="Times New Roman" w:cs="Times New Roman" w:eastAsia="Times New Roman" w:hAnsi="Times New Roman"/>
            <w:b w:val="1"/>
            <w:sz w:val="28"/>
            <w:szCs w:val="28"/>
          </w:rPr>
          <m:t xml:space="preserve">(</m:t>
        </m:r>
        <m:sSub>
          <m:sSubPr>
            <m:ctrlPr>
              <w:rPr>
                <w:rFonts w:ascii="Times New Roman" w:cs="Times New Roman" w:eastAsia="Times New Roman" w:hAnsi="Times New Roman"/>
                <w:b w:val="1"/>
                <w:sz w:val="28"/>
                <w:szCs w:val="28"/>
              </w:rPr>
            </m:ctrlPr>
          </m:sSubPr>
          <m:e>
            <m:r>
              <w:rPr>
                <w:rFonts w:ascii="Times New Roman" w:cs="Times New Roman" w:eastAsia="Times New Roman" w:hAnsi="Times New Roman"/>
                <w:b w:val="1"/>
                <w:sz w:val="28"/>
                <w:szCs w:val="28"/>
              </w:rPr>
              <m:t xml:space="preserve">f</m:t>
            </m:r>
          </m:e>
          <m:sub>
            <m:r>
              <w:rPr>
                <w:rFonts w:ascii="Times New Roman" w:cs="Times New Roman" w:eastAsia="Times New Roman" w:hAnsi="Times New Roman"/>
                <w:b w:val="1"/>
                <w:sz w:val="28"/>
                <w:szCs w:val="28"/>
              </w:rPr>
              <m:t xml:space="preserve">2</m:t>
            </m:r>
          </m:sub>
        </m:sSub>
        <m:d>
          <m:dPr>
            <m:begChr m:val="("/>
            <m:endChr m:val=")"/>
            <m:ctrlPr>
              <w:rPr>
                <w:rFonts w:ascii="Times New Roman" w:cs="Times New Roman" w:eastAsia="Times New Roman" w:hAnsi="Times New Roman"/>
                <w:b w:val="1"/>
                <w:sz w:val="28"/>
                <w:szCs w:val="28"/>
              </w:rPr>
            </m:ctrlPr>
          </m:dPr>
          <m:e>
            <m:r>
              <w:rPr>
                <w:rFonts w:ascii="Times New Roman" w:cs="Times New Roman" w:eastAsia="Times New Roman" w:hAnsi="Times New Roman"/>
                <w:b w:val="1"/>
                <w:sz w:val="28"/>
                <w:szCs w:val="28"/>
              </w:rPr>
              <m:t xml:space="preserve">net</m:t>
            </m:r>
          </m:e>
        </m:d>
        <m:r>
          <w:rPr>
            <w:rFonts w:ascii="Times New Roman" w:cs="Times New Roman" w:eastAsia="Times New Roman" w:hAnsi="Times New Roman"/>
            <w:b w:val="1"/>
            <w:sz w:val="28"/>
            <w:szCs w:val="28"/>
          </w:rPr>
          <m:t xml:space="preserve">)</m:t>
        </m:r>
      </m:oMath>
      <w:r w:rsidDel="00000000" w:rsidR="00000000" w:rsidRPr="00000000">
        <w:rPr>
          <w:rtl w:val="0"/>
        </w:rPr>
      </w:r>
    </w:p>
    <w:p w:rsidR="00000000" w:rsidDel="00000000" w:rsidP="00000000" w:rsidRDefault="00000000" w:rsidRPr="00000000" w14:paraId="00000168">
      <w:pPr>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пороговой функции уменьшим размер обучающей выборки при сохранении нулевой ошибки с целью уменьшения количества эпох, необходимых для обучения. Для функции:</w:t>
      </w:r>
    </w:p>
    <w:p w:rsidR="00000000" w:rsidDel="00000000" w:rsidP="00000000" w:rsidRDefault="00000000" w:rsidRPr="00000000" w14:paraId="00000169">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f=</m:t>
        </m:r>
        <m:d>
          <m:dPr>
            <m:begChr m:val="("/>
            <m:endChr m:val=")"/>
            <m:ctrlPr>
              <w:rPr>
                <w:rFonts w:ascii="Times New Roman" w:cs="Times New Roman" w:eastAsia="Times New Roman" w:hAnsi="Times New Roman"/>
                <w:sz w:val="28"/>
                <w:szCs w:val="28"/>
              </w:rPr>
            </m:ctrlPr>
          </m:dPr>
          <m:e>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e>
            </m:bar>
            <m:r>
              <w:rPr>
                <w:rFonts w:ascii="Times New Roman" w:cs="Times New Roman" w:eastAsia="Times New Roman" w:hAnsi="Times New Roman"/>
                <w:sz w:val="28"/>
                <w:szCs w:val="28"/>
              </w:rPr>
              <m:t xml:space="preserve">+</m:t>
            </m:r>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e>
            </m:bar>
            <m:r>
              <w:rPr>
                <w:rFonts w:ascii="Times New Roman" w:cs="Times New Roman" w:eastAsia="Times New Roman" w:hAnsi="Times New Roman"/>
                <w:sz w:val="28"/>
                <w:szCs w:val="28"/>
              </w:rPr>
              <m:t xml:space="preserve">+</m:t>
            </m:r>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e>
            </m:bar>
          </m:e>
        </m:d>
        <m:d>
          <m:dPr>
            <m:begChr m:val="("/>
            <m:endChr m:val=")"/>
            <m:ctrlPr>
              <w:rPr>
                <w:rFonts w:ascii="Times New Roman" w:cs="Times New Roman" w:eastAsia="Times New Roman" w:hAnsi="Times New Roman"/>
                <w:sz w:val="28"/>
                <w:szCs w:val="28"/>
              </w:rPr>
            </m:ctrlPr>
          </m:dPr>
          <m:e>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e>
            </m:bar>
            <m:r>
              <w:rPr>
                <w:rFonts w:ascii="Times New Roman" w:cs="Times New Roman" w:eastAsia="Times New Roman" w:hAnsi="Times New Roman"/>
                <w:sz w:val="28"/>
                <w:szCs w:val="28"/>
              </w:rPr>
              <m:t xml:space="preserve">+</m:t>
            </m:r>
            <m:bar>
              <m:barPr>
                <m:pos/>
                <m:ctrlPr>
                  <w:rPr>
                    <w:rFonts w:ascii="Times New Roman" w:cs="Times New Roman" w:eastAsia="Times New Roman" w:hAnsi="Times New Roman"/>
                    <w:sz w:val="28"/>
                    <w:szCs w:val="28"/>
                  </w:rPr>
                </m:ctrlPr>
              </m:bar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e>
            </m:ba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4</m:t>
                </m:r>
              </m:sub>
            </m:sSub>
          </m:e>
        </m:d>
      </m:oMath>
      <w:r w:rsidDel="00000000" w:rsidR="00000000" w:rsidRPr="00000000">
        <w:rPr>
          <w:rtl w:val="0"/>
        </w:rPr>
      </w:r>
    </w:p>
    <w:p w:rsidR="00000000" w:rsidDel="00000000" w:rsidP="00000000" w:rsidRDefault="00000000" w:rsidRPr="00000000" w14:paraId="0000016A">
      <w:pPr>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обнаружен следующий набор выборки и изменена его последовательность, при которой сохраняется нулевая ошибка и уменьшается время обучения:</w:t>
      </w:r>
    </w:p>
    <w:p w:rsidR="00000000" w:rsidDel="00000000" w:rsidP="00000000" w:rsidRDefault="00000000" w:rsidRPr="00000000" w14:paraId="0000016B">
      <w:pPr>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1</m:t>
                </m:r>
              </m:e>
            </m:d>
          </m:sup>
        </m:sSup>
        <m:r>
          <w:rPr>
            <w:rFonts w:ascii="Times New Roman" w:cs="Times New Roman" w:eastAsia="Times New Roman" w:hAnsi="Times New Roman"/>
            <w:sz w:val="28"/>
            <w:szCs w:val="28"/>
          </w:rPr>
          <m:t xml:space="preserve">=</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0,1,0,1</m:t>
            </m:r>
          </m:e>
        </m:d>
      </m:oMath>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2</m:t>
                </m:r>
              </m:e>
            </m:d>
          </m:sup>
        </m:sSup>
        <m:r>
          <w:rPr>
            <w:rFonts w:ascii="Times New Roman" w:cs="Times New Roman" w:eastAsia="Times New Roman" w:hAnsi="Times New Roman"/>
            <w:sz w:val="28"/>
            <w:szCs w:val="28"/>
          </w:rPr>
          <m:t xml:space="preserve">=</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0,1,1,0</m:t>
            </m:r>
          </m:e>
        </m:d>
      </m:oMath>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3</m:t>
                </m:r>
              </m:e>
            </m:d>
          </m:sup>
        </m:sSup>
        <m:r>
          <w:rPr>
            <w:rFonts w:ascii="Times New Roman" w:cs="Times New Roman" w:eastAsia="Times New Roman" w:hAnsi="Times New Roman"/>
            <w:sz w:val="28"/>
            <w:szCs w:val="28"/>
          </w:rPr>
          <m:t xml:space="preserve">=</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0,1,1,1</m:t>
            </m:r>
          </m:e>
        </m:d>
      </m:oMath>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4</m:t>
                </m:r>
              </m:e>
            </m:d>
          </m:sup>
        </m:sSup>
        <m:r>
          <w:rPr>
            <w:rFonts w:ascii="Times New Roman" w:cs="Times New Roman" w:eastAsia="Times New Roman" w:hAnsi="Times New Roman"/>
            <w:sz w:val="28"/>
            <w:szCs w:val="28"/>
          </w:rPr>
          <m:t xml:space="preserve">=</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1,0,0,0</m:t>
            </m:r>
          </m:e>
        </m:d>
      </m:oMath>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5</m:t>
                </m:r>
              </m:e>
            </m:d>
          </m:sup>
        </m:sSup>
        <m:r>
          <w:rPr>
            <w:rFonts w:ascii="Times New Roman" w:cs="Times New Roman" w:eastAsia="Times New Roman" w:hAnsi="Times New Roman"/>
            <w:sz w:val="28"/>
            <w:szCs w:val="28"/>
          </w:rPr>
          <m:t xml:space="preserve">=</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1,0,0,1</m:t>
            </m:r>
          </m:e>
        </m:d>
      </m:oMath>
      <w:r w:rsidDel="00000000" w:rsidR="00000000" w:rsidRPr="00000000">
        <w:rPr>
          <w:rtl w:val="0"/>
        </w:rPr>
      </w:r>
    </w:p>
    <w:p w:rsidR="00000000" w:rsidDel="00000000" w:rsidP="00000000" w:rsidRDefault="00000000" w:rsidRPr="00000000" w14:paraId="00000170">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время обучения удалось сократить до 6 эпох. Эпохи отражены на рисунках 2.12-2.15. Рисунок 2.16 отражает график суммарной ошибки. Рисунок 2.17 отражает результаты проверки.</w:t>
      </w:r>
    </w:p>
    <w:p w:rsidR="00000000" w:rsidDel="00000000" w:rsidP="00000000" w:rsidRDefault="00000000" w:rsidRPr="00000000" w14:paraId="00000172">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tbl>
      <w:tblPr>
        <w:tblStyle w:val="Table5"/>
        <w:tblW w:w="1000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1"/>
        <w:gridCol w:w="4961"/>
        <w:tblGridChange w:id="0">
          <w:tblGrid>
            <w:gridCol w:w="5041"/>
            <w:gridCol w:w="4961"/>
          </w:tblGrid>
        </w:tblGridChange>
      </w:tblGrid>
      <w:tr>
        <w:trPr>
          <w:cantSplit w:val="0"/>
          <w:tblHeader w:val="0"/>
        </w:trPr>
        <w:tc>
          <w:tcPr/>
          <w:p w:rsidR="00000000" w:rsidDel="00000000" w:rsidP="00000000" w:rsidRDefault="00000000" w:rsidRPr="00000000" w14:paraId="00000173">
            <w:pPr>
              <w:keepNext w:val="1"/>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7050" cy="1943100"/>
                  <wp:effectExtent b="0" l="0" r="0" t="0"/>
                  <wp:docPr id="8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067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2.12. Параметры НС на эпохе 1</w:t>
            </w:r>
          </w:p>
        </w:tc>
        <w:tc>
          <w:tcPr/>
          <w:p w:rsidR="00000000" w:rsidDel="00000000" w:rsidP="00000000" w:rsidRDefault="00000000" w:rsidRPr="00000000" w14:paraId="00000175">
            <w:pPr>
              <w:keepNext w:val="1"/>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19425" cy="1917700"/>
                  <wp:effectExtent b="0" l="0" r="0" t="0"/>
                  <wp:docPr id="8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01942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2.13. Параметры НС на эпохе 2</w:t>
            </w:r>
          </w:p>
        </w:tc>
      </w:tr>
      <w:tr>
        <w:trPr>
          <w:cantSplit w:val="0"/>
          <w:tblHeader w:val="0"/>
        </w:trPr>
        <w:tc>
          <w:tcPr/>
          <w:p w:rsidR="00000000" w:rsidDel="00000000" w:rsidP="00000000" w:rsidRDefault="00000000" w:rsidRPr="00000000" w14:paraId="00000177">
            <w:pPr>
              <w:keepNext w:val="1"/>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7050" cy="1943100"/>
                  <wp:effectExtent b="0" l="0" r="0" t="0"/>
                  <wp:docPr id="8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067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2.14. Параметры НС на эпохе 5</w:t>
            </w:r>
          </w:p>
        </w:tc>
        <w:tc>
          <w:tcPr/>
          <w:p w:rsidR="00000000" w:rsidDel="00000000" w:rsidP="00000000" w:rsidRDefault="00000000" w:rsidRPr="00000000" w14:paraId="00000179">
            <w:pPr>
              <w:keepNext w:val="1"/>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19425" cy="1917700"/>
                  <wp:effectExtent b="0" l="0" r="0" t="0"/>
                  <wp:docPr id="8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01942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2.15. Параметры НС на эпохе 6</w:t>
            </w:r>
          </w:p>
        </w:tc>
      </w:tr>
    </w:tbl>
    <w:p w:rsidR="00000000" w:rsidDel="00000000" w:rsidP="00000000" w:rsidRDefault="00000000" w:rsidRPr="00000000" w14:paraId="0000017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Итоговый весовой вектор:</w:t>
      </w:r>
    </w:p>
    <w:p w:rsidR="00000000" w:rsidDel="00000000" w:rsidP="00000000" w:rsidRDefault="00000000" w:rsidRPr="00000000" w14:paraId="0000017D">
      <w:pPr>
        <w:jc w:val="center"/>
        <w:rPr>
          <w:rFonts w:ascii="Times New Roman" w:cs="Times New Roman" w:eastAsia="Times New Roman" w:hAnsi="Times New Roman"/>
          <w:sz w:val="28"/>
          <w:szCs w:val="28"/>
        </w:rPr>
      </w:pPr>
      <m:oMath>
        <m:acc>
          <m:accPr>
            <m:chr m:val="⃗"/>
            <m:ctrlPr>
              <w:rPr>
                <w:rFonts w:ascii="Times New Roman" w:cs="Times New Roman" w:eastAsia="Times New Roman" w:hAnsi="Times New Roman"/>
                <w:sz w:val="28"/>
                <w:szCs w:val="28"/>
              </w:rPr>
            </m:ctrlPr>
          </m:accPr>
          <m:e>
            <m:r>
              <w:rPr>
                <w:rFonts w:ascii="Times New Roman" w:cs="Times New Roman" w:eastAsia="Times New Roman" w:hAnsi="Times New Roman"/>
                <w:sz w:val="28"/>
                <w:szCs w:val="28"/>
              </w:rPr>
              <m:t xml:space="preserve">w</m:t>
            </m:r>
          </m:e>
        </m:acc>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0</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)=(0; -0.3, -0.6, -0.6, 0.3)</m:t>
        </m:r>
      </m:oMath>
      <w:r w:rsidDel="00000000" w:rsidR="00000000" w:rsidRPr="00000000">
        <w:rPr>
          <w:rtl w:val="0"/>
        </w:rPr>
      </w:r>
    </w:p>
    <w:p w:rsidR="00000000" w:rsidDel="00000000" w:rsidP="00000000" w:rsidRDefault="00000000" w:rsidRPr="00000000" w14:paraId="0000017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keepNext w:val="1"/>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3340" cy="3771900"/>
            <wp:effectExtent b="0" l="0" r="0" t="0"/>
            <wp:docPr descr="Диаграмма" id="91" name="image10.png"/>
            <a:graphic>
              <a:graphicData uri="http://schemas.openxmlformats.org/drawingml/2006/picture">
                <pic:pic>
                  <pic:nvPicPr>
                    <pic:cNvPr descr="Диаграмма" id="0" name="image10.png"/>
                    <pic:cNvPicPr preferRelativeResize="0"/>
                  </pic:nvPicPr>
                  <pic:blipFill>
                    <a:blip r:embed="rId30"/>
                    <a:srcRect b="0" l="0" r="0" t="0"/>
                    <a:stretch>
                      <a:fillRect/>
                    </a:stretch>
                  </pic:blipFill>
                  <pic:spPr>
                    <a:xfrm>
                      <a:off x="0" y="0"/>
                      <a:ext cx="61133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2.16. Суммарная ошибка НС при длине обучающей выборки равной 10</w:t>
      </w:r>
    </w:p>
    <w:p w:rsidR="00000000" w:rsidDel="00000000" w:rsidP="00000000" w:rsidRDefault="00000000" w:rsidRPr="00000000" w14:paraId="0000018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keepNext w:val="1"/>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5675" cy="3295650"/>
            <wp:effectExtent b="0" l="0" r="0" t="0"/>
            <wp:docPr id="10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4956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2.17. Результаты тестирования весового вектора на полной БФ.</w:t>
      </w:r>
    </w:p>
    <w:p w:rsidR="00000000" w:rsidDel="00000000" w:rsidP="00000000" w:rsidRDefault="00000000" w:rsidRPr="00000000" w14:paraId="00000184">
      <w:pPr>
        <w:spacing w:after="0" w:line="360" w:lineRule="auto"/>
        <w:jc w:val="center"/>
        <w:rPr>
          <w:rFonts w:ascii="Times New Roman" w:cs="Times New Roman" w:eastAsia="Times New Roman" w:hAnsi="Times New Roman"/>
          <w:b w:val="1"/>
          <w:sz w:val="28"/>
          <w:szCs w:val="28"/>
        </w:rPr>
      </w:pPr>
      <w:r w:rsidDel="00000000" w:rsidR="00000000" w:rsidRPr="00000000">
        <w:br w:type="column"/>
      </w:r>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185">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использовании пороговой функции нейронная сеть обучалась достаточно долго, по сравнению с </w:t>
      </w:r>
      <w:r w:rsidDel="00000000" w:rsidR="00000000" w:rsidRPr="00000000">
        <w:rPr>
          <w:rFonts w:ascii="Times New Roman" w:cs="Times New Roman" w:eastAsia="Times New Roman" w:hAnsi="Times New Roman"/>
          <w:sz w:val="28"/>
          <w:szCs w:val="28"/>
          <w:highlight w:val="white"/>
          <w:rtl w:val="0"/>
        </w:rPr>
        <w:t xml:space="preserve">логистической</w:t>
      </w:r>
      <w:r w:rsidDel="00000000" w:rsidR="00000000" w:rsidRPr="00000000">
        <w:rPr>
          <w:rFonts w:ascii="Times New Roman" w:cs="Times New Roman" w:eastAsia="Times New Roman" w:hAnsi="Times New Roman"/>
          <w:sz w:val="28"/>
          <w:szCs w:val="28"/>
          <w:rtl w:val="0"/>
        </w:rPr>
        <w:t xml:space="preserve">. При попытке оптимизации методом выборки векторов было уменьшено время обучения на 80%, при тестировании полученного набора весов нейронная сеть не допустила ни одной ошибки. Из этого можно сделать вывод, что используя меньшее количество входных данных и определенную их последовательность, возможно сократить время обучения.</w:t>
      </w:r>
    </w:p>
    <w:p w:rsidR="00000000" w:rsidDel="00000000" w:rsidP="00000000" w:rsidRDefault="00000000" w:rsidRPr="00000000" w14:paraId="00000187">
      <w:pPr>
        <w:spacing w:after="0"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Таким образом, порядок начальных обучающих векторов определяет траекторию обучения НС.</w:t>
      </w:r>
      <w:r w:rsidDel="00000000" w:rsidR="00000000" w:rsidRPr="00000000">
        <w:rPr>
          <w:rtl w:val="0"/>
        </w:rPr>
      </w:r>
    </w:p>
    <w:p w:rsidR="00000000" w:rsidDel="00000000" w:rsidP="00000000" w:rsidRDefault="00000000" w:rsidRPr="00000000" w14:paraId="00000188">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pStyle w:val="Heading1"/>
        <w:ind w:right="7.204724409448886"/>
        <w:jc w:val="center"/>
        <w:rPr>
          <w:sz w:val="28"/>
          <w:szCs w:val="28"/>
        </w:rPr>
      </w:pPr>
      <w:bookmarkStart w:colFirst="0" w:colLast="0" w:name="_heading=h.3znysh7" w:id="4"/>
      <w:bookmarkEnd w:id="4"/>
      <w:r w:rsidDel="00000000" w:rsidR="00000000" w:rsidRPr="00000000">
        <w:br w:type="column"/>
      </w:r>
      <w:r w:rsidDel="00000000" w:rsidR="00000000" w:rsidRPr="00000000">
        <w:rPr>
          <w:sz w:val="28"/>
          <w:szCs w:val="28"/>
          <w:rtl w:val="0"/>
        </w:rPr>
        <w:t xml:space="preserve">Лабораторная работа 3. Оценка результатов классификации при помощи метрик TP, FP, FN, TN, Accuracy, Precision, AUC, F-мера, матрица ошибок и лабораторная работа 4: «Алгоритмы машинного обучения с учителем для решения задач классификации»</w:t>
      </w:r>
    </w:p>
    <w:p w:rsidR="00000000" w:rsidDel="00000000" w:rsidP="00000000" w:rsidRDefault="00000000" w:rsidRPr="00000000" w14:paraId="0000018B">
      <w:pPr>
        <w:spacing w:after="0" w:line="360" w:lineRule="auto"/>
        <w:ind w:right="7.204724409448886"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работы:</w:t>
      </w:r>
      <w:r w:rsidDel="00000000" w:rsidR="00000000" w:rsidRPr="00000000">
        <w:rPr>
          <w:rFonts w:ascii="Times New Roman" w:cs="Times New Roman" w:eastAsia="Times New Roman" w:hAnsi="Times New Roman"/>
          <w:sz w:val="28"/>
          <w:szCs w:val="28"/>
          <w:rtl w:val="0"/>
        </w:rPr>
        <w:t xml:space="preserve"> исследовать функционирование алгоритмов машинного обучения с учителем для решения задач классификации. Освоить основные методы оценки метрик точности алгоритмов классификации.  </w:t>
      </w:r>
    </w:p>
    <w:p w:rsidR="00000000" w:rsidDel="00000000" w:rsidP="00000000" w:rsidRDefault="00000000" w:rsidRPr="00000000" w14:paraId="0000018D">
      <w:pPr>
        <w:spacing w:after="0" w:line="360" w:lineRule="auto"/>
        <w:ind w:right="7.204724409448886" w:firstLine="70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after="0" w:line="360" w:lineRule="auto"/>
        <w:ind w:right="7.204724409448886" w:firstLine="70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Теоретическая часть</w:t>
      </w:r>
    </w:p>
    <w:p w:rsidR="00000000" w:rsidDel="00000000" w:rsidP="00000000" w:rsidRDefault="00000000" w:rsidRPr="00000000" w14:paraId="0000018F">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Классификация является одной из трех основных задач машинного обучения. Задача классификации подразумевает отнесение объекта к одной из категорий на основании его признаков. </w:t>
      </w:r>
    </w:p>
    <w:p w:rsidR="00000000" w:rsidDel="00000000" w:rsidP="00000000" w:rsidRDefault="00000000" w:rsidRPr="00000000" w14:paraId="00000190">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Важнейшим аспектом задачи классификации, отличающей ее от задачи кластеризации, является известность признаков объекта (в том числе и меток/маркеров класса). </w:t>
      </w:r>
    </w:p>
    <w:p w:rsidR="00000000" w:rsidDel="00000000" w:rsidP="00000000" w:rsidRDefault="00000000" w:rsidRPr="00000000" w14:paraId="00000191">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решений задачи классификации разработано большое количество методов машинного обучения. Один из алгоритмов, относящихся к методам вычислительного интеллекта, рассматривался в лабораторной работе №2 – однослойный персептрон (однослойная НС). </w:t>
      </w:r>
    </w:p>
    <w:p w:rsidR="00000000" w:rsidDel="00000000" w:rsidP="00000000" w:rsidRDefault="00000000" w:rsidRPr="00000000" w14:paraId="00000192">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один из алгоритмов метода машинного обучения – деревья решений. Основная идея алгоритмов, относящихся к данной категории – использование «древовидной» вложенной структуры вида if…else, позволяющей классифицировать данные по набору примитивных правил.</w:t>
      </w:r>
    </w:p>
    <w:p w:rsidR="00000000" w:rsidDel="00000000" w:rsidP="00000000" w:rsidRDefault="00000000" w:rsidRPr="00000000" w14:paraId="00000193">
      <w:pPr>
        <w:spacing w:after="0" w:line="360" w:lineRule="auto"/>
        <w:ind w:right="7.204724409448886"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оценки качества построенного дерева вводится понятие энтропии. </w:t>
      </w:r>
    </w:p>
    <w:p w:rsidR="00000000" w:rsidDel="00000000" w:rsidP="00000000" w:rsidRDefault="00000000" w:rsidRPr="00000000" w14:paraId="00000194">
      <w:pPr>
        <w:spacing w:after="0" w:line="360" w:lineRule="auto"/>
        <w:ind w:right="7.204724409448886"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Энтропия - это среднее количество информации, приходящееся на одно сообщение, символ, слово источника информации. </w:t>
      </w:r>
    </w:p>
    <w:p w:rsidR="00000000" w:rsidDel="00000000" w:rsidP="00000000" w:rsidRDefault="00000000" w:rsidRPr="00000000" w14:paraId="00000195">
      <w:pPr>
        <w:spacing w:after="0" w:line="360" w:lineRule="auto"/>
        <w:ind w:right="7.204724409448886"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Энтропия характеризует также среднюю неопределённость ситуации. Чем больше энтропия, тем больше неопределённость ситуации и, следовательно, тем больше информации получает лицо, принимающее сообщение, устраняющее неопределённость. </w:t>
      </w:r>
    </w:p>
    <w:p w:rsidR="00000000" w:rsidDel="00000000" w:rsidP="00000000" w:rsidRDefault="00000000" w:rsidRPr="00000000" w14:paraId="00000196">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Чаще всего дерево решений строится по принципу жадной максимизации прироста информации - на каждом шаге выбирается тот признак, при разделении по которому прирост информации оказывается наибольшим. Дальше процедура повторяется рекурсивно, пока энтропия не окажется равной нулю или какой-то малой величине. В разных алгоритмах применяются разные эвристики для "ранней остановки" или "отсечения", чтобы избежать построения переобученного дерева.</w:t>
      </w:r>
    </w:p>
    <w:p w:rsidR="00000000" w:rsidDel="00000000" w:rsidP="00000000" w:rsidRDefault="00000000" w:rsidRPr="00000000" w14:paraId="00000197">
      <w:pPr>
        <w:spacing w:after="0" w:line="360" w:lineRule="auto"/>
        <w:ind w:right="7.204724409448886"/>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after="0" w:line="360" w:lineRule="auto"/>
        <w:ind w:right="7.20472440944888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Ход работы:</w:t>
      </w:r>
    </w:p>
    <w:p w:rsidR="00000000" w:rsidDel="00000000" w:rsidP="00000000" w:rsidRDefault="00000000" w:rsidRPr="00000000" w14:paraId="00000199">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Текущий набор данных представляет собой сведения о молоке и его запахе. В него входят такие параметры как: Температура, Вкус, Жирность, Мутность, Цвет и т.д. </w:t>
      </w:r>
    </w:p>
    <w:p w:rsidR="00000000" w:rsidDel="00000000" w:rsidP="00000000" w:rsidRDefault="00000000" w:rsidRPr="00000000" w14:paraId="0000019A">
      <w:pPr>
        <w:keepNext w:val="1"/>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Составим дерево решений, по которому можно будет определить тип гриба (рисунок 3.1). </w:t>
      </w:r>
    </w:p>
    <w:p w:rsidR="00000000" w:rsidDel="00000000" w:rsidP="00000000" w:rsidRDefault="00000000" w:rsidRPr="00000000" w14:paraId="0000019B">
      <w:pPr>
        <w:keepNext w:val="1"/>
        <w:spacing w:after="0" w:line="360" w:lineRule="auto"/>
        <w:ind w:left="0" w:right="7.2047244094488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882900"/>
            <wp:effectExtent b="0" l="0" r="0" t="0"/>
            <wp:docPr id="7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01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3.1. Дерево решений</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Для построения дерева решений были выбраны следующие параметры:</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tl w:val="0"/>
        </w:rPr>
      </w:r>
    </w:p>
    <w:tbl>
      <w:tblPr>
        <w:tblStyle w:val="Table6"/>
        <w:tblW w:w="4965.0" w:type="dxa"/>
        <w:jc w:val="left"/>
        <w:tblInd w:w="216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50"/>
        <w:gridCol w:w="3015"/>
        <w:tblGridChange w:id="0">
          <w:tblGrid>
            <w:gridCol w:w="1950"/>
            <w:gridCol w:w="3015"/>
          </w:tblGrid>
        </w:tblGridChange>
      </w:tblGrid>
      <w:tr>
        <w:trPr>
          <w:cantSplit w:val="0"/>
          <w:tblHeader w:val="0"/>
        </w:trPr>
        <w:tc>
          <w:tcPr/>
          <w:p w:rsidR="00000000" w:rsidDel="00000000" w:rsidP="00000000" w:rsidRDefault="00000000" w:rsidRPr="00000000" w14:paraId="0000019F">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Temperature</w:t>
            </w:r>
          </w:p>
          <w:p w:rsidR="00000000" w:rsidDel="00000000" w:rsidP="00000000" w:rsidRDefault="00000000" w:rsidRPr="00000000" w14:paraId="000001A0">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Taste</w:t>
            </w:r>
          </w:p>
          <w:p w:rsidR="00000000" w:rsidDel="00000000" w:rsidP="00000000" w:rsidRDefault="00000000" w:rsidRPr="00000000" w14:paraId="000001A1">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Fat</w:t>
            </w:r>
          </w:p>
          <w:p w:rsidR="00000000" w:rsidDel="00000000" w:rsidP="00000000" w:rsidRDefault="00000000" w:rsidRPr="00000000" w14:paraId="000001A2">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Turbidity</w:t>
            </w:r>
          </w:p>
          <w:p w:rsidR="00000000" w:rsidDel="00000000" w:rsidP="00000000" w:rsidRDefault="00000000" w:rsidRPr="00000000" w14:paraId="000001A3">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Colour</w:t>
            </w:r>
          </w:p>
        </w:tc>
        <w:tc>
          <w:tcPr/>
          <w:p w:rsidR="00000000" w:rsidDel="00000000" w:rsidP="00000000" w:rsidRDefault="00000000" w:rsidRPr="00000000" w14:paraId="000001A4">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Температура</w:t>
            </w:r>
          </w:p>
          <w:p w:rsidR="00000000" w:rsidDel="00000000" w:rsidP="00000000" w:rsidRDefault="00000000" w:rsidRPr="00000000" w14:paraId="000001A5">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Вкус</w:t>
            </w:r>
          </w:p>
          <w:p w:rsidR="00000000" w:rsidDel="00000000" w:rsidP="00000000" w:rsidRDefault="00000000" w:rsidRPr="00000000" w14:paraId="000001A6">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Жирность</w:t>
            </w:r>
          </w:p>
          <w:p w:rsidR="00000000" w:rsidDel="00000000" w:rsidP="00000000" w:rsidRDefault="00000000" w:rsidRPr="00000000" w14:paraId="000001A7">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Мутность</w:t>
            </w:r>
          </w:p>
          <w:p w:rsidR="00000000" w:rsidDel="00000000" w:rsidP="00000000" w:rsidRDefault="00000000" w:rsidRPr="00000000" w14:paraId="000001A8">
            <w:pPr>
              <w:spacing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Цвет</w:t>
            </w:r>
          </w:p>
        </w:tc>
      </w:tr>
    </w:tbl>
    <w:p w:rsidR="00000000" w:rsidDel="00000000" w:rsidP="00000000" w:rsidRDefault="00000000" w:rsidRPr="00000000" w14:paraId="000001A9">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Оранжевый цвет - хороший запах, синий – плохой. Все данные сыграли примерно одинаково полезную роль при классификации и дали хороший результат.</w:t>
      </w:r>
    </w:p>
    <w:p w:rsidR="00000000" w:rsidDel="00000000" w:rsidP="00000000" w:rsidRDefault="00000000" w:rsidRPr="00000000" w14:paraId="000001AB">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Проведем анализ результатов обучения (Рис. 3.2-3.4).</w:t>
      </w:r>
    </w:p>
    <w:p w:rsidR="00000000" w:rsidDel="00000000" w:rsidP="00000000" w:rsidRDefault="00000000" w:rsidRPr="00000000" w14:paraId="000001AC">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tbl>
      <w:tblPr>
        <w:tblStyle w:val="Table7"/>
        <w:tblW w:w="9571.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5"/>
        <w:gridCol w:w="4786"/>
        <w:tblGridChange w:id="0">
          <w:tblGrid>
            <w:gridCol w:w="4785"/>
            <w:gridCol w:w="4786"/>
          </w:tblGrid>
        </w:tblGridChange>
      </w:tblGrid>
      <w:tr>
        <w:trPr>
          <w:cantSplit w:val="0"/>
          <w:trHeight w:val="3534" w:hRule="atLeast"/>
          <w:tblHeader w:val="0"/>
        </w:trPr>
        <w:tc>
          <w:tcPr/>
          <w:p w:rsidR="00000000" w:rsidDel="00000000" w:rsidP="00000000" w:rsidRDefault="00000000" w:rsidRPr="00000000" w14:paraId="000001AD">
            <w:pPr>
              <w:keepNext w:val="1"/>
              <w:spacing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5125" cy="2476500"/>
                  <wp:effectExtent b="0" l="0" r="0" t="0"/>
                  <wp:docPr id="9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9051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3.2. Матрица ошибок</w:t>
            </w:r>
          </w:p>
        </w:tc>
        <w:tc>
          <w:tcPr/>
          <w:p w:rsidR="00000000" w:rsidDel="00000000" w:rsidP="00000000" w:rsidRDefault="00000000" w:rsidRPr="00000000" w14:paraId="000001AF">
            <w:pPr>
              <w:spacing w:line="360" w:lineRule="auto"/>
              <w:ind w:right="7.2047244094488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spacing w:line="360" w:lineRule="auto"/>
              <w:ind w:right="7.2047244094488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76400" cy="847725"/>
                  <wp:effectExtent b="0" l="0" r="0" t="0"/>
                  <wp:docPr id="9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16764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3.3. Метрики</w:t>
            </w:r>
          </w:p>
          <w:p w:rsidR="00000000" w:rsidDel="00000000" w:rsidP="00000000" w:rsidRDefault="00000000" w:rsidRPr="00000000" w14:paraId="000001B3">
            <w:pPr>
              <w:spacing w:line="360" w:lineRule="auto"/>
              <w:ind w:right="7.204724409448886"/>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B4">
      <w:pPr>
        <w:keepNext w:val="1"/>
        <w:spacing w:after="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4787900"/>
            <wp:effectExtent b="0" l="0" r="0" t="0"/>
            <wp:docPr id="8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0115"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3.4. ROC кривая</w:t>
      </w:r>
    </w:p>
    <w:p w:rsidR="00000000" w:rsidDel="00000000" w:rsidP="00000000" w:rsidRDefault="00000000" w:rsidRPr="00000000" w14:paraId="000001B6">
      <w:pPr>
        <w:spacing w:after="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рисунке 3.2. (0 – хороший запах, 1 – плохой запах) видно, что доля неудовлетворительных ответов находиться на среднем уровне. Как можно заметить на рисунке 3.3. доля правильных ответов составляет 74%, что является хорошим результатом.</w:t>
      </w:r>
    </w:p>
    <w:p w:rsidR="00000000" w:rsidDel="00000000" w:rsidP="00000000" w:rsidRDefault="00000000" w:rsidRPr="00000000" w14:paraId="000001B7">
      <w:pPr>
        <w:spacing w:after="0" w:line="360" w:lineRule="auto"/>
        <w:ind w:right="7.2047244094488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after="0" w:line="360" w:lineRule="auto"/>
        <w:ind w:right="7.2047244094488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1B9">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результатам выполнения лабораторных работ №3 и №4, был реализован алгоритм машинного обучения с учителем для решения задач классификации и была проведена оценка результатов классификации при помощи метрик TP, FP, FN, TN, Accuracy, Precision, AUC, F-мера, матрица ошибок. Алгоритм способен выдать в 74% верный результат, следовательно, есть 26% риск найти плохое молоко.</w:t>
      </w:r>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spacing w:after="0" w:before="0" w:line="360" w:lineRule="auto"/>
        <w:ind w:right="7.204724409448886"/>
        <w:jc w:val="center"/>
        <w:rPr>
          <w:b w:val="0"/>
          <w:sz w:val="28"/>
          <w:szCs w:val="28"/>
        </w:rPr>
      </w:pPr>
      <w:bookmarkStart w:colFirst="0" w:colLast="0" w:name="_heading=h.6rvl8mpmqecl" w:id="5"/>
      <w:bookmarkEnd w:id="5"/>
      <w:r w:rsidDel="00000000" w:rsidR="00000000" w:rsidRPr="00000000">
        <w:rPr>
          <w:sz w:val="28"/>
          <w:szCs w:val="28"/>
          <w:rtl w:val="0"/>
        </w:rPr>
        <w:t xml:space="preserve">Лабораторная работа 8. Снижение размерности входных данных на примере алгоритмов PCA, SVD</w:t>
      </w:r>
      <w:r w:rsidDel="00000000" w:rsidR="00000000" w:rsidRPr="00000000">
        <w:rPr>
          <w:rtl w:val="0"/>
        </w:rPr>
      </w:r>
    </w:p>
    <w:p w:rsidR="00000000" w:rsidDel="00000000" w:rsidP="00000000" w:rsidRDefault="00000000" w:rsidRPr="00000000" w14:paraId="000001BB">
      <w:pPr>
        <w:spacing w:after="0" w:line="360" w:lineRule="auto"/>
        <w:ind w:right="7.204724409448886" w:firstLine="70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с использованием библиотеки scikit-learn изучить принципы работы алгоритмов сокращения размерности SVD и PCA. </w:t>
      </w:r>
    </w:p>
    <w:p w:rsidR="00000000" w:rsidDel="00000000" w:rsidP="00000000" w:rsidRDefault="00000000" w:rsidRPr="00000000" w14:paraId="000001BD">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Теоретическая часть</w:t>
      </w:r>
    </w:p>
    <w:p w:rsidR="00000000" w:rsidDel="00000000" w:rsidP="00000000" w:rsidRDefault="00000000" w:rsidRPr="00000000" w14:paraId="000001BE">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работе с данными высокой размерности часто бывает полезно понизить размерность путем проецирования на подпространство меньшей размерности, которое улавливает основные особенности данных. Один из подходов к этой проблеме – предположить, что все наблюдаемые многомерные выходы 𝑥𝑛 ∈ ℝ𝐷 порождены множеством скрытых, т. е. ненаблюдаемых латентных факторов низкой размерности 𝑧𝑛 ∈ ℝ𝐾. </w:t>
      </w:r>
    </w:p>
    <w:p w:rsidR="00000000" w:rsidDel="00000000" w:rsidP="00000000" w:rsidRDefault="00000000" w:rsidRPr="00000000" w14:paraId="000001BF">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Простейшим примером является применение факторного анализа. В частном случае, факторный анализ сводится к модели вероятностного метода главных компонент (principal components analysis — PCA</w:t>
      </w:r>
    </w:p>
    <w:p w:rsidR="00000000" w:rsidDel="00000000" w:rsidP="00000000" w:rsidRDefault="00000000" w:rsidRPr="00000000" w14:paraId="000001C0">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Cингулярное разложение (SVD), является обобщением спектрального разложения на прямоугольные матрицы. Любую вещественную матрицу A размера m´n можно разложить в произведение:</w:t>
      </w:r>
    </w:p>
    <w:p w:rsidR="00000000" w:rsidDel="00000000" w:rsidP="00000000" w:rsidRDefault="00000000" w:rsidRPr="00000000" w14:paraId="000001C1">
      <w:pPr>
        <w:spacing w:after="0" w:line="360" w:lineRule="auto"/>
        <w:ind w:right="7.204724409448886"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572000" cy="592455"/>
            <wp:effectExtent b="0" l="0" r="0" t="0"/>
            <wp:docPr id="10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572000" cy="59245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U – матрица 𝑚 × 𝑚 с ортонормированными столбцами (т. е.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U</m:t>
            </m:r>
          </m:e>
          <m:sup>
            <m:r>
              <w:rPr>
                <w:rFonts w:ascii="Times New Roman" w:cs="Times New Roman" w:eastAsia="Times New Roman" w:hAnsi="Times New Roman"/>
                <w:sz w:val="28"/>
                <w:szCs w:val="28"/>
              </w:rPr>
              <m:t xml:space="preserve">T</m:t>
            </m:r>
          </m:sup>
        </m:sSup>
      </m:oMath>
      <w:r w:rsidDel="00000000" w:rsidR="00000000" w:rsidRPr="00000000">
        <w:rPr>
          <w:rFonts w:ascii="Times New Roman" w:cs="Times New Roman" w:eastAsia="Times New Roman" w:hAnsi="Times New Roman"/>
          <w:sz w:val="28"/>
          <w:szCs w:val="28"/>
          <w:rtl w:val="0"/>
        </w:rPr>
        <w:t xml:space="preserve">𝑼 = 𝑰𝒎), V – матрица 𝑛 × 𝑛 с ортонормированными строками и столбцами (т. е.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T</m:t>
            </m:r>
          </m:sup>
        </m:sSup>
      </m:oMath>
      <w:r w:rsidDel="00000000" w:rsidR="00000000" w:rsidRPr="00000000">
        <w:rPr>
          <w:rFonts w:ascii="Times New Roman" w:cs="Times New Roman" w:eastAsia="Times New Roman" w:hAnsi="Times New Roman"/>
          <w:sz w:val="28"/>
          <w:szCs w:val="28"/>
          <w:rtl w:val="0"/>
        </w:rPr>
        <w:t xml:space="preserve">𝑽 = 𝑽</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V</m:t>
            </m:r>
          </m:e>
          <m:sup>
            <m:r>
              <w:rPr>
                <w:rFonts w:ascii="Times New Roman" w:cs="Times New Roman" w:eastAsia="Times New Roman" w:hAnsi="Times New Roman"/>
                <w:sz w:val="28"/>
                <w:szCs w:val="28"/>
              </w:rPr>
              <m:t xml:space="preserve">T</m:t>
            </m:r>
          </m:sup>
        </m:sSup>
      </m:oMath>
      <w:r w:rsidDel="00000000" w:rsidR="00000000" w:rsidRPr="00000000">
        <w:rPr>
          <w:rFonts w:ascii="Times New Roman" w:cs="Times New Roman" w:eastAsia="Times New Roman" w:hAnsi="Times New Roman"/>
          <w:sz w:val="28"/>
          <w:szCs w:val="28"/>
          <w:rtl w:val="0"/>
        </w:rPr>
        <w:t xml:space="preserve"> = 𝑰𝒏), а S – матрица 𝑚 × 𝑛, содержащая r = min(m, n) сингулярных чисел 𝜎𝑖 ≥ 0 на главной диагонали и нули во всех остальных позициях. Столбцы U называются левыми сингулярными векторами, а столбцы V – правыми сингулярными векторами.</w:t>
      </w:r>
    </w:p>
    <w:p w:rsidR="00000000" w:rsidDel="00000000" w:rsidP="00000000" w:rsidRDefault="00000000" w:rsidRPr="00000000" w14:paraId="000001C3">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after="0" w:line="360" w:lineRule="auto"/>
        <w:ind w:right="7.20472440944888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Ход работы:</w:t>
      </w:r>
    </w:p>
    <w:tbl>
      <w:tblPr>
        <w:tblStyle w:val="Table8"/>
        <w:tblW w:w="10456.0" w:type="dxa"/>
        <w:jc w:val="left"/>
        <w:tblInd w:w="-99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07"/>
        <w:gridCol w:w="5149"/>
        <w:tblGridChange w:id="0">
          <w:tblGrid>
            <w:gridCol w:w="5307"/>
            <w:gridCol w:w="5149"/>
          </w:tblGrid>
        </w:tblGridChange>
      </w:tblGrid>
      <w:tr>
        <w:trPr>
          <w:cantSplit w:val="0"/>
          <w:trHeight w:val="5438" w:hRule="atLeast"/>
          <w:tblHeader w:val="0"/>
        </w:trPr>
        <w:tc>
          <w:tcPr/>
          <w:p w:rsidR="00000000" w:rsidDel="00000000" w:rsidP="00000000" w:rsidRDefault="00000000" w:rsidRPr="00000000" w14:paraId="000001C5">
            <w:pPr>
              <w:keepNext w:val="1"/>
              <w:spacing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25140" cy="3175926"/>
                  <wp:effectExtent b="0" l="0" r="0" t="0"/>
                  <wp:docPr id="101"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025140" cy="3175926"/>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4.1. Тренировочный набор</w:t>
            </w:r>
          </w:p>
          <w:p w:rsidR="00000000" w:rsidDel="00000000" w:rsidP="00000000" w:rsidRDefault="00000000" w:rsidRPr="00000000" w14:paraId="000001C7">
            <w:pPr>
              <w:spacing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C8">
            <w:pPr>
              <w:keepNext w:val="1"/>
              <w:spacing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33725" cy="3162300"/>
                  <wp:effectExtent b="0" l="0" r="0" t="0"/>
                  <wp:docPr id="9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1337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4.2. Тестовый набор</w:t>
            </w:r>
          </w:p>
        </w:tc>
      </w:tr>
    </w:tbl>
    <w:p w:rsidR="00000000" w:rsidDel="00000000" w:rsidP="00000000" w:rsidRDefault="00000000" w:rsidRPr="00000000" w14:paraId="000001CA">
      <w:pPr>
        <w:spacing w:after="0" w:line="360" w:lineRule="auto"/>
        <w:ind w:right="7.2047244094488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На рисунках 4.1-4.2 видно, что часть плохого молока (1) находятся в зоне хорошего (0), а часть хорошего на стороне плохого.</w:t>
      </w:r>
    </w:p>
    <w:p w:rsidR="00000000" w:rsidDel="00000000" w:rsidP="00000000" w:rsidRDefault="00000000" w:rsidRPr="00000000" w14:paraId="000001CB">
      <w:pPr>
        <w:spacing w:after="0" w:line="360" w:lineRule="auto"/>
        <w:ind w:right="7.20472440944888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spacing w:after="0" w:line="360" w:lineRule="auto"/>
        <w:ind w:right="7.204724409448886"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spacing w:after="0" w:line="360" w:lineRule="auto"/>
        <w:ind w:right="7.204724409448886" w:firstLine="708"/>
        <w:jc w:val="both"/>
        <w:rPr>
          <w:rFonts w:ascii="Times New Roman" w:cs="Times New Roman" w:eastAsia="Times New Roman" w:hAnsi="Times New Roman"/>
          <w:b w:val="1"/>
          <w:sz w:val="28"/>
          <w:szCs w:val="28"/>
        </w:rPr>
      </w:pPr>
      <w:r w:rsidDel="00000000" w:rsidR="00000000" w:rsidRPr="00000000">
        <w:rPr>
          <w:rtl w:val="0"/>
        </w:rPr>
      </w:r>
    </w:p>
    <w:tbl>
      <w:tblPr>
        <w:tblStyle w:val="Table9"/>
        <w:tblW w:w="9571.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1"/>
        <w:gridCol w:w="4790"/>
        <w:tblGridChange w:id="0">
          <w:tblGrid>
            <w:gridCol w:w="4781"/>
            <w:gridCol w:w="4790"/>
          </w:tblGrid>
        </w:tblGridChange>
      </w:tblGrid>
      <w:tr>
        <w:trPr>
          <w:cantSplit w:val="0"/>
          <w:tblHeader w:val="0"/>
        </w:trPr>
        <w:tc>
          <w:tcPr/>
          <w:p w:rsidR="00000000" w:rsidDel="00000000" w:rsidP="00000000" w:rsidRDefault="00000000" w:rsidRPr="00000000" w14:paraId="000001CE">
            <w:pPr>
              <w:keepNext w:val="1"/>
              <w:spacing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5125" cy="2476500"/>
                  <wp:effectExtent b="0" l="0" r="0" t="0"/>
                  <wp:docPr id="8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9051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4.3. Метрики</w:t>
            </w:r>
          </w:p>
          <w:p w:rsidR="00000000" w:rsidDel="00000000" w:rsidP="00000000" w:rsidRDefault="00000000" w:rsidRPr="00000000" w14:paraId="000001D0">
            <w:pPr>
              <w:spacing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D1">
            <w:pPr>
              <w:spacing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keepNext w:val="1"/>
              <w:spacing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38300" cy="838200"/>
                  <wp:effectExtent b="0" l="0" r="0" t="0"/>
                  <wp:docPr id="11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16383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4.4. Метрики</w:t>
            </w:r>
          </w:p>
          <w:p w:rsidR="00000000" w:rsidDel="00000000" w:rsidP="00000000" w:rsidRDefault="00000000" w:rsidRPr="00000000" w14:paraId="000001D5">
            <w:pPr>
              <w:spacing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D6">
      <w:pPr>
        <w:spacing w:after="0" w:line="360" w:lineRule="auto"/>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keepNext w:val="1"/>
        <w:spacing w:after="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3340" cy="5270500"/>
            <wp:effectExtent b="0" l="0" r="0" t="0"/>
            <wp:docPr id="10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611334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7.20472440944888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Рисунок 4.5. ROC-кривая</w:t>
      </w:r>
    </w:p>
    <w:p w:rsidR="00000000" w:rsidDel="00000000" w:rsidP="00000000" w:rsidRDefault="00000000" w:rsidRPr="00000000" w14:paraId="000001D9">
      <w:pPr>
        <w:spacing w:after="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DA">
      <w:pPr>
        <w:spacing w:after="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Анализируя метрики можно сделать вывод, что алгоритм классификации работает корректно, точность составляет 82% .</w:t>
      </w:r>
    </w:p>
    <w:p w:rsidR="00000000" w:rsidDel="00000000" w:rsidP="00000000" w:rsidRDefault="00000000" w:rsidRPr="00000000" w14:paraId="000001DB">
      <w:pPr>
        <w:spacing w:after="0" w:line="360" w:lineRule="auto"/>
        <w:ind w:right="7.20472440944888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spacing w:after="0" w:line="360" w:lineRule="auto"/>
        <w:ind w:right="7.2047244094488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1DD">
      <w:pPr>
        <w:spacing w:after="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общем случае по данным результатам следует сказать следующее. При возникновении сомнений по поводу съедобности молока стоит его пропустить. Количество неверно классифицированного молока, а именно пропавшего, среднее. Следует отметить, что употребление пропавшего молока с таким процентом его выявления не повлечет для человека серьезных последствий, следовательно, наличие данного алгоритма лучше, чем его отсутствие.</w:t>
      </w:r>
      <w:r w:rsidDel="00000000" w:rsidR="00000000" w:rsidRPr="00000000">
        <w:rPr>
          <w:rtl w:val="0"/>
        </w:rPr>
      </w:r>
    </w:p>
    <w:sectPr>
      <w:footerReference r:id="rId42" w:type="default"/>
      <w:footerReference r:id="rId43" w:type="first"/>
      <w:pgSz w:h="16838" w:w="11906" w:orient="portrait"/>
      <w:pgMar w:bottom="1134" w:top="1134" w:left="1701" w:right="577.2047244094489"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Москва,</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AA5958"/>
  </w:style>
  <w:style w:type="paragraph" w:styleId="1">
    <w:name w:val="heading 1"/>
    <w:basedOn w:val="a"/>
    <w:link w:val="10"/>
    <w:uiPriority w:val="9"/>
    <w:qFormat w:val="1"/>
    <w:rsid w:val="00431198"/>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a3">
    <w:name w:val="Table Grid"/>
    <w:basedOn w:val="a1"/>
    <w:uiPriority w:val="59"/>
    <w:rsid w:val="00C404C7"/>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a4">
    <w:name w:val="caption"/>
    <w:basedOn w:val="a"/>
    <w:next w:val="a"/>
    <w:uiPriority w:val="35"/>
    <w:unhideWhenUsed w:val="1"/>
    <w:qFormat w:val="1"/>
    <w:rsid w:val="00ED2212"/>
    <w:pPr>
      <w:spacing w:line="240" w:lineRule="auto"/>
    </w:pPr>
    <w:rPr>
      <w:b w:val="1"/>
      <w:bCs w:val="1"/>
      <w:color w:val="4f81bd" w:themeColor="accent1"/>
      <w:sz w:val="18"/>
      <w:szCs w:val="18"/>
    </w:rPr>
  </w:style>
  <w:style w:type="paragraph" w:styleId="a5">
    <w:name w:val="Normal (Web)"/>
    <w:basedOn w:val="a"/>
    <w:uiPriority w:val="99"/>
    <w:unhideWhenUsed w:val="1"/>
    <w:rsid w:val="00E36FAC"/>
    <w:pPr>
      <w:spacing w:after="100" w:afterAutospacing="1" w:before="100" w:beforeAutospacing="1" w:line="240" w:lineRule="auto"/>
      <w:jc w:val="both"/>
    </w:pPr>
    <w:rPr>
      <w:rFonts w:ascii="Times New Roman" w:cs="Times New Roman" w:eastAsia="Times New Roman" w:hAnsi="Times New Roman"/>
      <w:sz w:val="24"/>
      <w:szCs w:val="24"/>
    </w:rPr>
  </w:style>
  <w:style w:type="character" w:styleId="a6">
    <w:name w:val="Subtle Emphasis"/>
    <w:aliases w:val="Текст1"/>
    <w:basedOn w:val="a0"/>
    <w:uiPriority w:val="19"/>
    <w:qFormat w:val="1"/>
    <w:rsid w:val="00E36FAC"/>
    <w:rPr>
      <w:rFonts w:ascii="Times New Roman" w:cs="Times New Roman" w:hAnsi="Times New Roman" w:hint="default"/>
      <w:i w:val="0"/>
      <w:iCs w:val="1"/>
      <w:color w:val="000000" w:themeColor="text1"/>
      <w:sz w:val="28"/>
    </w:rPr>
  </w:style>
  <w:style w:type="paragraph" w:styleId="a7">
    <w:name w:val="header"/>
    <w:basedOn w:val="a"/>
    <w:link w:val="a8"/>
    <w:uiPriority w:val="99"/>
    <w:semiHidden w:val="1"/>
    <w:unhideWhenUsed w:val="1"/>
    <w:rsid w:val="007A2C06"/>
    <w:pPr>
      <w:tabs>
        <w:tab w:val="center" w:pos="4677"/>
        <w:tab w:val="right" w:pos="9355"/>
      </w:tabs>
      <w:spacing w:after="0" w:line="240" w:lineRule="auto"/>
    </w:pPr>
  </w:style>
  <w:style w:type="character" w:styleId="a8" w:customStyle="1">
    <w:name w:val="Верхний колонтитул Знак"/>
    <w:basedOn w:val="a0"/>
    <w:link w:val="a7"/>
    <w:uiPriority w:val="99"/>
    <w:semiHidden w:val="1"/>
    <w:rsid w:val="007A2C06"/>
  </w:style>
  <w:style w:type="paragraph" w:styleId="a9">
    <w:name w:val="footer"/>
    <w:basedOn w:val="a"/>
    <w:link w:val="aa"/>
    <w:uiPriority w:val="99"/>
    <w:unhideWhenUsed w:val="1"/>
    <w:rsid w:val="007A2C06"/>
    <w:pPr>
      <w:tabs>
        <w:tab w:val="center" w:pos="4677"/>
        <w:tab w:val="right" w:pos="9355"/>
      </w:tabs>
      <w:spacing w:after="0" w:line="240" w:lineRule="auto"/>
    </w:pPr>
  </w:style>
  <w:style w:type="character" w:styleId="aa" w:customStyle="1">
    <w:name w:val="Нижний колонтитул Знак"/>
    <w:basedOn w:val="a0"/>
    <w:link w:val="a9"/>
    <w:uiPriority w:val="99"/>
    <w:rsid w:val="007A2C06"/>
  </w:style>
  <w:style w:type="paragraph" w:styleId="ab">
    <w:name w:val="Balloon Text"/>
    <w:basedOn w:val="a"/>
    <w:link w:val="ac"/>
    <w:uiPriority w:val="99"/>
    <w:semiHidden w:val="1"/>
    <w:unhideWhenUsed w:val="1"/>
    <w:rsid w:val="00841B7D"/>
    <w:pPr>
      <w:spacing w:after="0" w:line="240" w:lineRule="auto"/>
    </w:pPr>
    <w:rPr>
      <w:rFonts w:ascii="Tahoma" w:cs="Tahoma" w:hAnsi="Tahoma"/>
      <w:sz w:val="16"/>
      <w:szCs w:val="16"/>
    </w:rPr>
  </w:style>
  <w:style w:type="character" w:styleId="ac" w:customStyle="1">
    <w:name w:val="Текст выноски Знак"/>
    <w:basedOn w:val="a0"/>
    <w:link w:val="ab"/>
    <w:uiPriority w:val="99"/>
    <w:semiHidden w:val="1"/>
    <w:rsid w:val="00841B7D"/>
    <w:rPr>
      <w:rFonts w:ascii="Tahoma" w:cs="Tahoma" w:hAnsi="Tahoma"/>
      <w:sz w:val="16"/>
      <w:szCs w:val="16"/>
    </w:rPr>
  </w:style>
  <w:style w:type="character" w:styleId="10" w:customStyle="1">
    <w:name w:val="Заголовок 1 Знак"/>
    <w:basedOn w:val="a0"/>
    <w:link w:val="1"/>
    <w:uiPriority w:val="9"/>
    <w:rsid w:val="00431198"/>
    <w:rPr>
      <w:rFonts w:ascii="Times New Roman" w:cs="Times New Roman" w:eastAsia="Times New Roman" w:hAnsi="Times New Roman"/>
      <w:b w:val="1"/>
      <w:bCs w:val="1"/>
      <w:kern w:val="36"/>
      <w:sz w:val="48"/>
      <w:szCs w:val="48"/>
    </w:rPr>
  </w:style>
  <w:style w:type="character" w:styleId="ad">
    <w:name w:val="Hyperlink"/>
    <w:basedOn w:val="a0"/>
    <w:uiPriority w:val="99"/>
    <w:unhideWhenUsed w:val="1"/>
    <w:rsid w:val="0067415B"/>
    <w:rPr>
      <w:color w:val="0000ff" w:themeColor="hyperlink"/>
      <w:u w:val="single"/>
    </w:rPr>
  </w:style>
  <w:style w:type="paragraph" w:styleId="ae">
    <w:name w:val="TOC Heading"/>
    <w:basedOn w:val="1"/>
    <w:next w:val="a"/>
    <w:uiPriority w:val="39"/>
    <w:semiHidden w:val="1"/>
    <w:unhideWhenUsed w:val="1"/>
    <w:qFormat w:val="1"/>
    <w:rsid w:val="004D3AFA"/>
    <w:pPr>
      <w:keepNext w:val="1"/>
      <w:keepLines w:val="1"/>
      <w:spacing w:after="0" w:afterAutospacing="0" w:before="480" w:beforeAutospacing="0" w:line="276" w:lineRule="auto"/>
      <w:outlineLvl w:val="9"/>
    </w:pPr>
    <w:rPr>
      <w:rFonts w:asciiTheme="majorHAnsi" w:cstheme="majorBidi" w:eastAsiaTheme="majorEastAsia" w:hAnsiTheme="majorHAnsi"/>
      <w:color w:val="365f91" w:themeColor="accent1" w:themeShade="0000BF"/>
      <w:kern w:val="0"/>
      <w:sz w:val="28"/>
      <w:szCs w:val="28"/>
      <w:lang w:eastAsia="en-US"/>
    </w:rPr>
  </w:style>
  <w:style w:type="paragraph" w:styleId="11">
    <w:name w:val="toc 1"/>
    <w:basedOn w:val="a"/>
    <w:next w:val="a"/>
    <w:autoRedefine w:val="1"/>
    <w:uiPriority w:val="39"/>
    <w:unhideWhenUsed w:val="1"/>
    <w:rsid w:val="004D3AFA"/>
    <w:pPr>
      <w:spacing w:after="100"/>
    </w:pPr>
  </w:style>
  <w:style w:type="paragraph" w:styleId="af">
    <w:name w:val="List Paragraph"/>
    <w:basedOn w:val="a"/>
    <w:uiPriority w:val="34"/>
    <w:qFormat w:val="1"/>
    <w:rsid w:val="00152AA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16.png"/><Relationship Id="rId42" Type="http://schemas.openxmlformats.org/officeDocument/2006/relationships/footer" Target="footer2.xml"/><Relationship Id="rId41" Type="http://schemas.openxmlformats.org/officeDocument/2006/relationships/image" Target="media/image22.png"/><Relationship Id="rId22" Type="http://schemas.openxmlformats.org/officeDocument/2006/relationships/image" Target="media/image30.png"/><Relationship Id="rId21" Type="http://schemas.openxmlformats.org/officeDocument/2006/relationships/image" Target="media/image31.png"/><Relationship Id="rId43" Type="http://schemas.openxmlformats.org/officeDocument/2006/relationships/footer" Target="footer1.xml"/><Relationship Id="rId24" Type="http://schemas.openxmlformats.org/officeDocument/2006/relationships/image" Target="media/image1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3.png"/><Relationship Id="rId25" Type="http://schemas.openxmlformats.org/officeDocument/2006/relationships/image" Target="media/image33.png"/><Relationship Id="rId28" Type="http://schemas.openxmlformats.org/officeDocument/2006/relationships/image" Target="media/image1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1.png"/><Relationship Id="rId8" Type="http://schemas.openxmlformats.org/officeDocument/2006/relationships/image" Target="media/image24.png"/><Relationship Id="rId31" Type="http://schemas.openxmlformats.org/officeDocument/2006/relationships/image" Target="media/image29.png"/><Relationship Id="rId30" Type="http://schemas.openxmlformats.org/officeDocument/2006/relationships/image" Target="media/image10.png"/><Relationship Id="rId11" Type="http://schemas.openxmlformats.org/officeDocument/2006/relationships/image" Target="media/image34.png"/><Relationship Id="rId33" Type="http://schemas.openxmlformats.org/officeDocument/2006/relationships/image" Target="media/image28.png"/><Relationship Id="rId10" Type="http://schemas.openxmlformats.org/officeDocument/2006/relationships/hyperlink" Target="https://www.kaggle.com/datasets/muhammadadiltalay/imdb-video-games" TargetMode="External"/><Relationship Id="rId32" Type="http://schemas.openxmlformats.org/officeDocument/2006/relationships/image" Target="media/image2.png"/><Relationship Id="rId13" Type="http://schemas.openxmlformats.org/officeDocument/2006/relationships/image" Target="media/image7.png"/><Relationship Id="rId35" Type="http://schemas.openxmlformats.org/officeDocument/2006/relationships/image" Target="media/image9.png"/><Relationship Id="rId12" Type="http://schemas.openxmlformats.org/officeDocument/2006/relationships/image" Target="media/image6.png"/><Relationship Id="rId34" Type="http://schemas.openxmlformats.org/officeDocument/2006/relationships/image" Target="media/image1.png"/><Relationship Id="rId15" Type="http://schemas.openxmlformats.org/officeDocument/2006/relationships/image" Target="media/image20.png"/><Relationship Id="rId37" Type="http://schemas.openxmlformats.org/officeDocument/2006/relationships/image" Target="media/image26.png"/><Relationship Id="rId14" Type="http://schemas.openxmlformats.org/officeDocument/2006/relationships/image" Target="media/image5.png"/><Relationship Id="rId36" Type="http://schemas.openxmlformats.org/officeDocument/2006/relationships/image" Target="media/image27.png"/><Relationship Id="rId17" Type="http://schemas.openxmlformats.org/officeDocument/2006/relationships/image" Target="media/image15.png"/><Relationship Id="rId39" Type="http://schemas.openxmlformats.org/officeDocument/2006/relationships/image" Target="media/image4.png"/><Relationship Id="rId16" Type="http://schemas.openxmlformats.org/officeDocument/2006/relationships/image" Target="media/image13.png"/><Relationship Id="rId38"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5tZyYbi3P2bp5xG4z5SwS+NrWg==">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2022-10-02T14:01:00Z</dcterms:created>
  <dc:creator>Nikita Taganov</dc:creator>
</cp:coreProperties>
</file>