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Değişiklik Yönetimi Prosedürü</w:t>
      </w:r>
    </w:p>
    <w:p>
      <w:r>
        <w:t>Doküman No: PRS-014</w:t>
      </w:r>
    </w:p>
    <w:p>
      <w:r>
        <w:t>Versiyon 2.0</w:t>
      </w:r>
    </w:p>
    <w:p>
      <w:r>
        <w:t>Yürürlük tarihi: 01.06.2026</w:t>
      </w:r>
    </w:p>
    <w:p>
      <w:pPr>
        <w:pStyle w:val="Heading1"/>
      </w:pPr>
      <w:r>
        <w:t>1. Amaç</w:t>
      </w:r>
    </w:p>
    <w:p>
      <w:r>
        <w:t>Bu prosedür, üretim ortamındaki sistemlerde yapılacak değişikliklerin planlanması, onaylanması ve uygulanması için izlenecek adımları tanımlar.</w:t>
      </w:r>
    </w:p>
    <w:p>
      <w:pPr>
        <w:pStyle w:val="Heading1"/>
      </w:pPr>
      <w:r>
        <w:t>2. Kapsam</w:t>
      </w:r>
    </w:p>
    <w:p>
      <w:r>
        <w:t>Bu prosedür, Kuzey Teknoloji bünyesindeki tüm üretim sistemlerini, veri tabanlarını ve ağ cihazlarını kapsar.</w:t>
      </w:r>
    </w:p>
    <w:p>
      <w:pPr>
        <w:pStyle w:val="Heading1"/>
      </w:pPr>
      <w:r>
        <w:t>3. Roller ve Sorumluluklar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Sorumluluk</w:t>
            </w:r>
          </w:p>
        </w:tc>
      </w:tr>
      <w:tr>
        <w:tc>
          <w:tcPr>
            <w:tcW w:type="dxa" w:w="4320"/>
          </w:tcPr>
          <w:p>
            <w:r>
              <w:t>Değişiklik Sahibi</w:t>
            </w:r>
          </w:p>
        </w:tc>
        <w:tc>
          <w:tcPr>
            <w:tcW w:type="dxa" w:w="4320"/>
          </w:tcPr>
          <w:p>
            <w:r>
              <w:t>Değişiklik talebini oluşturur ve uygular</w:t>
            </w:r>
          </w:p>
        </w:tc>
      </w:tr>
      <w:tr>
        <w:tc>
          <w:tcPr>
            <w:tcW w:type="dxa" w:w="4320"/>
          </w:tcPr>
          <w:p>
            <w:r>
              <w:t>Değişiklik Danışma Kurulu</w:t>
            </w:r>
          </w:p>
        </w:tc>
        <w:tc>
          <w:tcPr>
            <w:tcW w:type="dxa" w:w="4320"/>
          </w:tcPr>
          <w:p>
            <w:r>
              <w:t>Normal değişiklikleri değerlendirir ve onaylar</w:t>
            </w:r>
          </w:p>
        </w:tc>
      </w:tr>
      <w:tr>
        <w:tc>
          <w:tcPr>
            <w:tcW w:type="dxa" w:w="4320"/>
          </w:tcPr>
          <w:p>
            <w:r>
              <w:t>Değişiklik Yöneticisi</w:t>
            </w:r>
          </w:p>
        </w:tc>
        <w:tc>
          <w:tcPr>
            <w:tcW w:type="dxa" w:w="4320"/>
          </w:tcPr>
          <w:p>
            <w:r>
              <w:t>Prosedürün uygulanmasını takip eder</w:t>
            </w:r>
          </w:p>
        </w:tc>
      </w:tr>
    </w:tbl>
    <w:p>
      <w:pPr>
        <w:pStyle w:val="Heading1"/>
      </w:pPr>
      <w:r>
        <w:t>4. Değişiklik Türleri</w:t>
      </w:r>
    </w:p>
    <w:p>
      <w:pPr>
        <w:pStyle w:val="Heading2"/>
      </w:pPr>
      <w:r>
        <w:t>4.1 Standart değişiklik</w:t>
      </w:r>
    </w:p>
    <w:p>
      <w:r>
        <w:t>Standart değişiklikler önceden onaylanmış, düşük riskli ve tekrarlanan işlemlerdir. Standart değişiklikler için ayrıca onay gerekmez.</w:t>
      </w:r>
    </w:p>
    <w:p>
      <w:pPr>
        <w:pStyle w:val="Heading2"/>
      </w:pPr>
      <w:r>
        <w:t>4.2 Normal değişiklik</w:t>
      </w:r>
    </w:p>
    <w:p>
      <w:r>
        <w:t>Normal değişiklikler Değişiklik Danışma Kurulu tarafından haftalık toplantıda onaylanmalıdır. Değişiklik talebi en geç uygulamadan 3 iş günü önce açılmalıdır.</w:t>
      </w:r>
    </w:p>
    <w:p>
      <w:pPr>
        <w:pStyle w:val="Heading2"/>
      </w:pPr>
      <w:r>
        <w:t>4.3 Acil değişiklik</w:t>
      </w:r>
    </w:p>
    <w:p>
      <w:r>
        <w:t>Acil değişiklikler, Değişiklik Yöneticisi tarafından en geç 2 saat içinde onaylanmalıdır. Acil değişiklikler sonradan Değişiklik Danışma Kuruluna raporlanır.</w:t>
      </w:r>
    </w:p>
    <w:p>
      <w:r>
        <w:t>Veri tabanı şema değişiklikleri acil değişiklik olarak uygulanamaz.</w:t>
      </w:r>
    </w:p>
    <w:p>
      <w:pPr>
        <w:pStyle w:val="Heading1"/>
      </w:pPr>
      <w:r>
        <w:t>5. Uygulama</w:t>
      </w:r>
    </w:p>
    <w:p>
      <w:pPr>
        <w:pStyle w:val="Heading2"/>
      </w:pPr>
      <w:r>
        <w:t>5.1 Geri dönüş planı</w:t>
      </w:r>
    </w:p>
    <w:p>
      <w:r>
        <w:t>Her normal ve acil değişiklik için geri dönüş planı hazırlanmalıdır.</w:t>
      </w:r>
    </w:p>
    <w:p>
      <w:pPr>
        <w:pStyle w:val="Heading2"/>
      </w:pPr>
      <w:r>
        <w:t>5.2 Uygulama penceresi</w:t>
      </w:r>
    </w:p>
    <w:p>
      <w:r>
        <w:t>Normal değişiklikler yalnızca hafta içi 22:00 ile 02:00 arasında uygulanabilir. 4.3 numaralı bölümde tanımlanan acil değişiklikler bu kısıtlamanın dışındadır.</w:t>
      </w:r>
    </w:p>
    <w:p>
      <w:pPr>
        <w:pStyle w:val="Heading1"/>
      </w:pPr>
      <w:r>
        <w:t>6. İlgili Dokümanlar</w:t>
      </w:r>
    </w:p>
    <w:p>
      <w:r>
        <w:t>Bilgi Güvenliği Yönetmeliği (YNT-001), Olay Müdahale Planı (PLN-003).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