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Grid ADAUSDT - Стратегия/Grid Trading</w:t>
      </w:r>
    </w:p>
    <w:p>
      <w:pPr>
        <w:pStyle w:val="Heading1"/>
      </w:pPr>
      <w:r>
        <w:t>1. Обзор стратегии</w:t>
      </w:r>
    </w:p>
    <w:p>
      <w:r>
        <w:t>Grid ADAUSDT — это двусторонняя сеточная стратегия для торговли фьючерсами ADAUSDT на бирже Binance. Стратегия использует симметричную сетку ордеров для извлечения прибыли от колебаний цены в диапазоне.</w:t>
      </w:r>
    </w:p>
    <w:p>
      <w:pPr>
        <w:pStyle w:val="Heading1"/>
      </w:pPr>
      <w:r>
        <w:t>2. Параметры стратегии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Инструмент</w:t>
            </w:r>
          </w:p>
        </w:tc>
        <w:tc>
          <w:tcPr>
            <w:tcW w:type="dxa" w:w="2880"/>
          </w:tcPr>
          <w:p>
            <w:r>
              <w:t>ADAUSDT Perpetual</w:t>
            </w:r>
          </w:p>
        </w:tc>
        <w:tc>
          <w:tcPr>
            <w:tcW w:type="dxa" w:w="2880"/>
          </w:tcPr>
          <w:p>
            <w:r>
              <w:t>Кардано фьючерсы</w:t>
            </w:r>
          </w:p>
        </w:tc>
      </w:tr>
      <w:tr>
        <w:tc>
          <w:tcPr>
            <w:tcW w:type="dxa" w:w="2880"/>
          </w:tcPr>
          <w:p>
            <w:r>
              <w:t>Таймфрейм</w:t>
            </w:r>
          </w:p>
        </w:tc>
        <w:tc>
          <w:tcPr>
            <w:tcW w:type="dxa" w:w="2880"/>
          </w:tcPr>
          <w:p>
            <w:r>
              <w:t>30m</w:t>
            </w:r>
          </w:p>
        </w:tc>
        <w:tc>
          <w:tcPr>
            <w:tcW w:type="dxa" w:w="2880"/>
          </w:tcPr>
          <w:p>
            <w:r>
              <w:t>30-минутные свечи</w:t>
            </w:r>
          </w:p>
        </w:tc>
      </w:tr>
      <w:tr>
        <w:tc>
          <w:tcPr>
            <w:tcW w:type="dxa" w:w="2880"/>
          </w:tcPr>
          <w:p>
            <w:r>
              <w:t>Направление</w:t>
            </w:r>
          </w:p>
        </w:tc>
        <w:tc>
          <w:tcPr>
            <w:tcW w:type="dxa" w:w="2880"/>
          </w:tcPr>
          <w:p>
            <w:r>
              <w:t>Лонг + Шорт</w:t>
            </w:r>
          </w:p>
        </w:tc>
        <w:tc>
          <w:tcPr>
            <w:tcW w:type="dxa" w:w="2880"/>
          </w:tcPr>
          <w:p>
            <w:r>
              <w:t>Двусторонняя торговля</w:t>
            </w:r>
          </w:p>
        </w:tc>
      </w:tr>
      <w:tr>
        <w:tc>
          <w:tcPr>
            <w:tcW w:type="dxa" w:w="2880"/>
          </w:tcPr>
          <w:p>
            <w:r>
              <w:t>Реинвестирование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Реинвестирование прибыли</w:t>
            </w:r>
          </w:p>
        </w:tc>
      </w:tr>
      <w:tr>
        <w:tc>
          <w:tcPr>
            <w:tcW w:type="dxa" w:w="2880"/>
          </w:tcPr>
          <w:p>
            <w:r>
              <w:t>Размер позиции</w:t>
            </w:r>
          </w:p>
        </w:tc>
        <w:tc>
          <w:tcPr>
            <w:tcW w:type="dxa" w:w="2880"/>
          </w:tcPr>
          <w:p>
            <w:r>
              <w:t>10 акций</w:t>
            </w:r>
          </w:p>
        </w:tc>
        <w:tc>
          <w:tcPr>
            <w:tcW w:type="dxa" w:w="2880"/>
          </w:tcPr>
          <w:p>
            <w:r>
              <w:t>Базовый размер + реинвест</w:t>
            </w:r>
          </w:p>
        </w:tc>
      </w:tr>
      <w:tr>
        <w:tc>
          <w:tcPr>
            <w:tcW w:type="dxa" w:w="2880"/>
          </w:tcPr>
          <w:p>
            <w:r>
              <w:t>GridSpacing</w:t>
            </w:r>
          </w:p>
        </w:tc>
        <w:tc>
          <w:tcPr>
            <w:tcW w:type="dxa" w:w="2880"/>
          </w:tcPr>
          <w:p>
            <w:r>
              <w:t>ATR(14)</w:t>
            </w:r>
          </w:p>
        </w:tc>
        <w:tc>
          <w:tcPr>
            <w:tcW w:type="dxa" w:w="2880"/>
          </w:tcPr>
          <w:p>
            <w:r>
              <w:t>Адаптивная сетка на основе волатильности</w:t>
            </w:r>
          </w:p>
        </w:tc>
      </w:tr>
      <w:tr>
        <w:tc>
          <w:tcPr>
            <w:tcW w:type="dxa" w:w="2880"/>
          </w:tcPr>
          <w:p>
            <w:r>
              <w:t>GridLevels</w:t>
            </w:r>
          </w:p>
        </w:tc>
        <w:tc>
          <w:tcPr>
            <w:tcW w:type="dxa" w:w="2880"/>
          </w:tcPr>
          <w:p>
            <w:r>
              <w:t>3 уровня</w:t>
            </w:r>
          </w:p>
        </w:tc>
        <w:tc>
          <w:tcPr>
            <w:tcW w:type="dxa" w:w="2880"/>
          </w:tcPr>
          <w:p>
            <w:r>
              <w:t>Уровни сетки в каждую сторону</w:t>
            </w:r>
          </w:p>
        </w:tc>
      </w:tr>
      <w:tr>
        <w:tc>
          <w:tcPr>
            <w:tcW w:type="dxa" w:w="2880"/>
          </w:tcPr>
          <w:p>
            <w:r>
              <w:t>StopLoss</w:t>
            </w:r>
          </w:p>
        </w:tc>
        <w:tc>
          <w:tcPr>
            <w:tcW w:type="dxa" w:w="2880"/>
          </w:tcPr>
          <w:p>
            <w:r>
              <w:t>ATR x 2</w:t>
            </w:r>
          </w:p>
        </w:tc>
        <w:tc>
          <w:tcPr>
            <w:tcW w:type="dxa" w:w="2880"/>
          </w:tcPr>
          <w:p>
            <w:r>
              <w:t>Стоп-лосс на основе волатильности</w:t>
            </w:r>
          </w:p>
        </w:tc>
      </w:tr>
      <w:tr>
        <w:tc>
          <w:tcPr>
            <w:tcW w:type="dxa" w:w="2880"/>
          </w:tcPr>
          <w:p>
            <w:r>
              <w:t>Комиссия</w:t>
            </w:r>
          </w:p>
        </w:tc>
        <w:tc>
          <w:tcPr>
            <w:tcW w:type="dxa" w:w="2880"/>
          </w:tcPr>
          <w:p>
            <w:r>
              <w:t>0.05%</w:t>
            </w:r>
          </w:p>
        </w:tc>
        <w:tc>
          <w:tcPr>
            <w:tcW w:type="dxa" w:w="2880"/>
          </w:tcPr>
          <w:p>
            <w:r>
              <w:t>Binance futures taker fee</w:t>
            </w:r>
          </w:p>
        </w:tc>
      </w:tr>
    </w:tbl>
    <w:p>
      <w:pPr>
        <w:pStyle w:val="Heading1"/>
      </w:pPr>
      <w:r>
        <w:t>3. Логика торговли</w:t>
      </w:r>
    </w:p>
    <w:p>
      <w:pPr>
        <w:pStyle w:val="Heading2"/>
      </w:pPr>
      <w:r>
        <w:t>Вход в лонг:</w:t>
      </w:r>
    </w:p>
    <w:p>
      <w:r>
        <w:t>• Цена опускается ниже текущего Close</w:t>
      </w:r>
    </w:p>
    <w:p>
      <w:r>
        <w:t>• Условие: Close &lt; Close[1]</w:t>
      </w:r>
    </w:p>
    <w:p>
      <w:pPr>
        <w:pStyle w:val="Heading2"/>
      </w:pPr>
      <w:r>
        <w:t>Вход в шорт:</w:t>
      </w:r>
    </w:p>
    <w:p>
      <w:r>
        <w:t>• Цена поднимается выше текущего Close</w:t>
      </w:r>
    </w:p>
    <w:p>
      <w:r>
        <w:t>• Условие: Close &gt; Close[1]</w:t>
      </w:r>
    </w:p>
    <w:p>
      <w:pPr>
        <w:pStyle w:val="Heading2"/>
      </w:pPr>
      <w:r>
        <w:t>Выход:</w:t>
      </w:r>
    </w:p>
    <w:p>
      <w:r>
        <w:t>• Тейк-профит: закрытие при достижении следующего уровня</w:t>
      </w:r>
    </w:p>
    <w:p>
      <w:r>
        <w:t>• Стоп-лосс: закрытие при пробое уровня</w:t>
      </w:r>
    </w:p>
    <w:p>
      <w:pPr>
        <w:pStyle w:val="Heading1"/>
      </w:pPr>
      <w:r>
        <w:t>4. Grid-логика</w:t>
      </w:r>
    </w:p>
    <w:p>
      <w:r>
        <w:t>Стратегия использует ATR(14) для расчёта уровней сетки. Расстояние между уровнями = ATR x GridMultiplier. Это позволяет адаптироваться к текущей волатильности рынка.</w:t>
      </w:r>
    </w:p>
    <w:p>
      <w:pPr>
        <w:pStyle w:val="Heading1"/>
      </w:pPr>
      <w:r>
        <w:t>5. Реинвестирование</w:t>
      </w:r>
    </w:p>
    <w:p>
      <w:r>
        <w:t>Стратегия поддерживает реинвестирование 10% прибыли. При закрытии сделки с прибылью, 10% от полученного профита добавляется к размеру следующей позиции. Это позволяет увеличивать размер позиций по мере роста капитала.</w:t>
      </w:r>
    </w:p>
    <w:p>
      <w:pPr>
        <w:pStyle w:val="Heading1"/>
      </w:pPr>
      <w:r>
        <w:t>6. Оптимизация</w:t>
      </w:r>
    </w:p>
    <w:p>
      <w:r>
        <w:t>Доступные параметры для оптимизации:</w:t>
      </w:r>
    </w:p>
    <w:p>
      <w:r>
        <w:t>• Shares (Количество): 5-20 акций</w:t>
      </w:r>
    </w:p>
    <w:p>
      <w:r>
        <w:t>• GridMultiplier: 0.5-2.0</w:t>
      </w:r>
    </w:p>
    <w:p>
      <w:r>
        <w:t>• StopMultiplier: 1.5-3.0</w:t>
      </w:r>
    </w:p>
    <w:p>
      <w:pPr>
        <w:pStyle w:val="Heading1"/>
      </w:pPr>
      <w:r>
        <w:t>7. Управление рисками</w:t>
      </w:r>
    </w:p>
    <w:p>
      <w:r>
        <w:t>• Стоп-лосс на каждом уровне</w:t>
      </w:r>
    </w:p>
    <w:p>
      <w:r>
        <w:t>• Максимальный размер позиции ограничен</w:t>
      </w:r>
    </w:p>
    <w:p>
      <w:r>
        <w:t>• Комиссия 0.05% (Binance futures)</w:t>
      </w:r>
    </w:p>
    <w:p>
      <w:pPr>
        <w:pStyle w:val="Heading1"/>
      </w:pPr>
      <w:r>
        <w:t>8. Файлы стратегии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Файл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GridADAUSDT</w:t>
            </w:r>
          </w:p>
        </w:tc>
        <w:tc>
          <w:tcPr>
            <w:tcW w:type="dxa" w:w="4320"/>
          </w:tcPr>
          <w:p>
            <w:r>
              <w:t>Скрипт TSLab</w:t>
            </w:r>
          </w:p>
        </w:tc>
      </w:tr>
      <w:tr>
        <w:tc>
          <w:tcPr>
            <w:tcW w:type="dxa" w:w="4320"/>
          </w:tcPr>
          <w:p>
            <w:r>
              <w:t>GridADAUSDT_Description.docx</w:t>
            </w:r>
          </w:p>
        </w:tc>
        <w:tc>
          <w:tcPr>
            <w:tcW w:type="dxa" w:w="4320"/>
          </w:tcPr>
          <w:p>
            <w:r>
              <w:t>Описание стратегии</w:t>
            </w:r>
          </w:p>
        </w:tc>
      </w:tr>
      <w:tr>
        <w:tc>
          <w:tcPr>
            <w:tcW w:type="dxa" w:w="4320"/>
          </w:tcPr>
          <w:p>
            <w:r>
              <w:t>initial-strategy-description.md</w:t>
            </w:r>
          </w:p>
        </w:tc>
        <w:tc>
          <w:tcPr>
            <w:tcW w:type="dxa" w:w="4320"/>
          </w:tcPr>
          <w:p>
            <w:r>
              <w:t>Исходная идея</w:t>
            </w:r>
          </w:p>
        </w:tc>
      </w:tr>
      <w:tr>
        <w:tc>
          <w:tcPr>
            <w:tcW w:type="dxa" w:w="4320"/>
          </w:tcPr>
          <w:p>
            <w:r>
              <w:t>research-hypothesis.md</w:t>
            </w:r>
          </w:p>
        </w:tc>
        <w:tc>
          <w:tcPr>
            <w:tcW w:type="dxa" w:w="4320"/>
          </w:tcPr>
          <w:p>
            <w:r>
              <w:t>Торговая гипотеза</w:t>
            </w:r>
          </w:p>
        </w:tc>
      </w:tr>
      <w:tr>
        <w:tc>
          <w:tcPr>
            <w:tcW w:type="dxa" w:w="4320"/>
          </w:tcPr>
          <w:p>
            <w:r>
              <w:t>design-specification.md</w:t>
            </w:r>
          </w:p>
        </w:tc>
        <w:tc>
          <w:tcPr>
            <w:tcW w:type="dxa" w:w="4320"/>
          </w:tcPr>
          <w:p>
            <w:r>
              <w:t>Техническая спецификация</w:t>
            </w:r>
          </w:p>
        </w:tc>
      </w:tr>
      <w:tr>
        <w:tc>
          <w:tcPr>
            <w:tcW w:type="dxa" w:w="4320"/>
          </w:tcPr>
          <w:p>
            <w:r>
              <w:t>execution-plan.md</w:t>
            </w:r>
          </w:p>
        </w:tc>
        <w:tc>
          <w:tcPr>
            <w:tcW w:type="dxa" w:w="4320"/>
          </w:tcPr>
          <w:p>
            <w:r>
              <w:t>План реализации</w:t>
            </w:r>
          </w:p>
        </w:tc>
      </w:tr>
      <w:tr>
        <w:tc>
          <w:tcPr>
            <w:tcW w:type="dxa" w:w="4320"/>
          </w:tcPr>
          <w:p>
            <w:r>
              <w:t>risk-contract.md</w:t>
            </w:r>
          </w:p>
        </w:tc>
        <w:tc>
          <w:tcPr>
            <w:tcW w:type="dxa" w:w="4320"/>
          </w:tcPr>
          <w:p>
            <w:r>
              <w:t>Контракт рисков</w:t>
            </w:r>
          </w:p>
        </w:tc>
      </w:tr>
      <w:tr>
        <w:tc>
          <w:tcPr>
            <w:tcW w:type="dxa" w:w="4320"/>
          </w:tcPr>
          <w:p>
            <w:r>
              <w:t>final-strategy-description.md</w:t>
            </w:r>
          </w:p>
        </w:tc>
        <w:tc>
          <w:tcPr>
            <w:tcW w:type="dxa" w:w="4320"/>
          </w:tcPr>
          <w:p>
            <w:r>
              <w:t>Полная документация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Обзор проекта</w:t>
            </w:r>
          </w:p>
        </w:tc>
      </w:tr>
    </w:tbl>
    <w:p>
      <w:pPr>
        <w:pStyle w:val="Heading1"/>
      </w:pPr>
      <w:r>
        <w:t>9. Статус</w:t>
      </w:r>
    </w:p>
    <w:p>
      <w:r>
        <w:t>✓ Стратегия создана в TSLab</w:t>
      </w:r>
    </w:p>
    <w:p>
      <w:r>
        <w:t>✓ Реинвестирование 10% добавлено</w:t>
      </w:r>
    </w:p>
    <w:p>
      <w:r>
        <w:t>✓ Grid-логика с ATR добавлена</w:t>
      </w:r>
    </w:p>
    <w:p>
      <w:r>
        <w:t>✓ Параметры оптимизации настроены</w:t>
      </w:r>
    </w:p>
    <w:p>
      <w:r>
        <w:t>✓ Скрипт скомпилирован и загружен</w:t>
      </w:r>
    </w:p>
    <w:p>
      <w:r>
        <w:t>⏳ Ожидание тестирования и оптимизации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