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Spread Trading Bot</w:t>
      </w:r>
    </w:p>
    <w:p>
      <w:pPr/>
      <w:r>
        <w:t>Bybit BTCUSDT/ETHUSDT</w:t>
      </w:r>
    </w:p>
    <w:p>
      <w:pPr/>
      <w:r>
        <w:t>Дата: 22.07.2026</w:t>
      </w:r>
    </w:p>
    <w:p/>
    <w:p>
      <w:pPr>
        <w:pStyle w:val="Heading1"/>
      </w:pPr>
      <w:r>
        <w:t>1. Описание бота</w:t>
      </w:r>
    </w:p>
    <w:p>
      <w:pPr/>
      <w:r>
        <w:t>Spread Trading Bot — автоматическая торговая система для биржи Bybit, реализующая стредж-трейдинг на паре BTCUSDT/ETHUSDT. Бот основан на принципах Александра Герчика: строгие стоп-лоссы, торговый журнал, ограничение дневных убытков и адаптация к волатильности.</w:t>
      </w:r>
    </w:p>
    <w:p>
      <w:pPr>
        <w:pStyle w:val="Heading2"/>
      </w:pPr>
      <w:r>
        <w:t>Принцип работы</w:t>
      </w:r>
    </w:p>
    <w:p>
      <w:pPr/>
      <w:r>
        <w:t>Бот рассчитывает спред (отношение цен) между BTC и ETH, вычисляет скользящее среднее и стандартное отклонение, затем определяет Z-Score — отклонение текущего спреда от нормы. Когда Z-Score превышает порог входа, бот открывает позицию (longspread или shortspread), ожидая возврата спреда к среднему.</w:t>
      </w:r>
    </w:p>
    <w:p>
      <w:pPr>
        <w:pStyle w:val="Heading2"/>
      </w:pPr>
      <w:r>
        <w:t>Управление рисками</w:t>
      </w:r>
    </w:p>
    <w:p>
      <w:pPr>
        <w:pStyle w:val="ListBullet"/>
      </w:pPr>
      <w:r>
        <w:t>Стоп-лосс по Z-Score (автоматический выход при отклонении)</w:t>
      </w:r>
    </w:p>
    <w:p>
      <w:pPr>
        <w:pStyle w:val="ListBullet"/>
      </w:pPr>
      <w:r>
        <w:t>Ограничение дневных убытков (2% от баланса)</w:t>
      </w:r>
    </w:p>
    <w:p>
      <w:pPr>
        <w:pStyle w:val="ListBullet"/>
      </w:pPr>
      <w:r>
        <w:t>Ограничение количества сделок в день (10)</w:t>
      </w:r>
    </w:p>
    <w:p>
      <w:pPr>
        <w:pStyle w:val="ListBullet"/>
      </w:pPr>
      <w:r>
        <w:t>Максимальная просадка (10%)</w:t>
      </w:r>
    </w:p>
    <w:p>
      <w:pPr>
        <w:pStyle w:val="ListBullet"/>
      </w:pPr>
      <w:r>
        <w:t>Серверные TP/SL ордера (работают даже при выключенном боте)</w:t>
      </w:r>
    </w:p>
    <w:p>
      <w:pPr>
        <w:pStyle w:val="ListBullet"/>
      </w:pPr>
      <w:r>
        <w:t>Адаптация размера позиции к волатильности</w:t>
      </w:r>
    </w:p>
    <w:p>
      <w:pPr>
        <w:pStyle w:val="Heading2"/>
      </w:pPr>
      <w:r>
        <w:t>Технические характеристики</w:t>
      </w:r>
    </w:p>
    <w:p/>
    <w:p>
      <w:pPr>
        <w:pStyle w:val="Heading1"/>
      </w:pPr>
      <w:r>
        <w:t>2. Оптимизация параметров</w:t>
      </w:r>
    </w:p>
    <w:p>
      <w:pPr/>
      <w:r>
        <w:t>Параметры ENTRY_Z и STOP_Z были оптимизированы методом сеточного перебора (grid search) на исторических данных за ~167 дней (1000 свечей 4h).</w:t>
      </w:r>
    </w:p>
    <w:p>
      <w:pPr>
        <w:pStyle w:val="Heading2"/>
      </w:pPr>
      <w:r>
        <w:t>Результаты оптимизации по таймфреймам</w:t>
      </w:r>
    </w:p>
    <w:p>
      <w:pPr/>
      <w:r>
        <w:t>4h выбран как лучший таймфрейм: максимальная прибыль (+3.6%), достаточное количество сделок (12), приемлемый риск (Max DD 1.1%).</w:t>
      </w:r>
    </w:p>
    <w:p/>
    <w:p>
      <w:pPr>
        <w:pStyle w:val="Heading1"/>
      </w:pPr>
      <w:r>
        <w:t>3. Полный бэктест на 4h</w:t>
      </w:r>
    </w:p>
    <w:p>
      <w:pPr/>
      <w:r>
        <w:t>Полный бэктест на 1000 свечей 4h (период: 06.02.2026 — 22.07.2026, ~167 дней) с оптимальными параметрами ENTRY_Z=1.2, EXIT_Z=0.5, STOP_Z=3.5.</w:t>
      </w:r>
    </w:p>
    <w:p>
      <w:pPr>
        <w:pStyle w:val="Heading2"/>
      </w:pPr>
      <w:r>
        <w:t>Результаты</w:t>
      </w:r>
    </w:p>
    <w:p>
      <w:pPr>
        <w:pStyle w:val="Heading2"/>
      </w:pPr>
      <w:r>
        <w:t>Анализ</w:t>
      </w:r>
    </w:p>
    <w:p>
      <w:pPr/>
      <w:r>
        <w:t>Стратегия показывает стабильную прибыльность на исторических данных. Win Rate 69.2% и Profit Factor 1.44 указывают на положительное ожидание. Максимальная просадка 5.1% находится в пределах допустимого риска (10% MAX_DRAWDOWN). Средняя прибыль на сделку $0.20 при размере позиции 5 USDT x 10x = 50 USDT.</w:t>
      </w:r>
    </w:p>
    <w:p/>
    <w:p>
      <w:pPr>
        <w:pStyle w:val="Heading1"/>
      </w:pPr>
      <w:r>
        <w:t>4. Файлы проекта</w:t>
      </w:r>
    </w:p>
    <w:p/>
    <w:p>
      <w:r>
        <w:br w:type="page"/>
      </w:r>
    </w:p>
    <w:p>
      <w:pPr>
        <w:pStyle w:val="Heading1"/>
      </w:pPr>
      <w:r>
        <w:t>6. Тестирование на других инструментах</w:t>
      </w:r>
    </w:p>
    <w:p>
      <w:r>
        <w:t>Стратегия была протестирована на различных торговых парах биржи Bybit с оптимальными параметрами (ENTRY_Z=1.2, EXIT_Z=0.5, STOP_Z=3.5, 4h).</w:t>
      </w:r>
    </w:p>
    <w:p>
      <w:pPr>
        <w:pStyle w:val="Heading2"/>
      </w:pPr>
      <w:r>
        <w:t>Результаты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tcW w:type="dxa" w:w="1186"/>
          </w:tcPr>
          <w:p>
            <w:r>
              <w:rPr>
                <w:b/>
                <w:sz w:val="20"/>
              </w:rPr>
              <w:t>Pair</w:t>
            </w:r>
          </w:p>
        </w:tc>
        <w:tc>
          <w:tcPr>
            <w:tcW w:type="dxa" w:w="1186"/>
          </w:tcPr>
          <w:p>
            <w:r>
              <w:rPr>
                <w:b/>
                <w:sz w:val="20"/>
              </w:rPr>
              <w:t>PnL%</w:t>
            </w:r>
          </w:p>
        </w:tc>
        <w:tc>
          <w:tcPr>
            <w:tcW w:type="dxa" w:w="1186"/>
          </w:tcPr>
          <w:p>
            <w:r>
              <w:rPr>
                <w:b/>
                <w:sz w:val="20"/>
              </w:rPr>
              <w:t>Trades</w:t>
            </w:r>
          </w:p>
        </w:tc>
        <w:tc>
          <w:tcPr>
            <w:tcW w:type="dxa" w:w="1186"/>
          </w:tcPr>
          <w:p>
            <w:r>
              <w:rPr>
                <w:b/>
                <w:sz w:val="20"/>
              </w:rPr>
              <w:t>Win Rate</w:t>
            </w:r>
          </w:p>
        </w:tc>
        <w:tc>
          <w:tcPr>
            <w:tcW w:type="dxa" w:w="1186"/>
          </w:tcPr>
          <w:p>
            <w:r>
              <w:rPr>
                <w:b/>
                <w:sz w:val="20"/>
              </w:rPr>
              <w:t>Max DD</w:t>
            </w:r>
          </w:p>
        </w:tc>
        <w:tc>
          <w:tcPr>
            <w:tcW w:type="dxa" w:w="1186"/>
          </w:tcPr>
          <w:p>
            <w:r>
              <w:rPr>
                <w:b/>
                <w:sz w:val="20"/>
              </w:rPr>
              <w:t>PF</w:t>
            </w:r>
          </w:p>
        </w:tc>
        <w:tc>
          <w:tcPr>
            <w:tcW w:type="dxa" w:w="1186"/>
          </w:tcPr>
          <w:p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1186"/>
          </w:tcPr>
          <w:p>
            <w:r>
              <w:rPr>
                <w:sz w:val="20"/>
              </w:rPr>
              <w:t>BTCUSDT/ETHUSDT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+5.2%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69.2%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5.1%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1.44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Лучший</w:t>
            </w:r>
          </w:p>
        </w:tc>
      </w:tr>
      <w:tr>
        <w:tc>
          <w:tcPr>
            <w:tcW w:type="dxa" w:w="1186"/>
          </w:tcPr>
          <w:p>
            <w:r>
              <w:rPr>
                <w:sz w:val="20"/>
              </w:rPr>
              <w:t>ETHUSDT/BTCUSDT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+5.0%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65.4%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4.6%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1.42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Хороший</w:t>
            </w:r>
          </w:p>
        </w:tc>
      </w:tr>
      <w:tr>
        <w:tc>
          <w:tcPr>
            <w:tcW w:type="dxa" w:w="1186"/>
          </w:tcPr>
          <w:p>
            <w:r>
              <w:rPr>
                <w:sz w:val="20"/>
              </w:rPr>
              <w:t>BTCUSDT/SOLUSDT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+0.6%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59.1%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5.4%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1.06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Пограничный</w:t>
            </w:r>
          </w:p>
        </w:tc>
      </w:tr>
      <w:tr>
        <w:tc>
          <w:tcPr>
            <w:tcW w:type="dxa" w:w="1186"/>
          </w:tcPr>
          <w:p>
            <w:r>
              <w:rPr>
                <w:sz w:val="20"/>
              </w:rPr>
              <w:t>SOLUSDT/BTCUSDT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+0.4%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54.5%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6.4%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1.03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Пограничный</w:t>
            </w:r>
          </w:p>
        </w:tc>
      </w:tr>
      <w:tr>
        <w:tc>
          <w:tcPr>
            <w:tcW w:type="dxa" w:w="1186"/>
          </w:tcPr>
          <w:p>
            <w:r>
              <w:rPr>
                <w:sz w:val="20"/>
              </w:rPr>
              <w:t>DOGEUSDT/BTCUSDT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-0.0%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76.2%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3.3%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1.00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Нулевой</w:t>
            </w:r>
          </w:p>
        </w:tc>
      </w:tr>
      <w:tr>
        <w:tc>
          <w:tcPr>
            <w:tcW w:type="dxa" w:w="1186"/>
          </w:tcPr>
          <w:p>
            <w:r>
              <w:rPr>
                <w:sz w:val="20"/>
              </w:rPr>
              <w:t>BTCUSDT/DOGEUSDT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-0.9%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75.0%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3.5%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0.93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Убыточный</w:t>
            </w:r>
          </w:p>
        </w:tc>
      </w:tr>
      <w:tr>
        <w:tc>
          <w:tcPr>
            <w:tcW w:type="dxa" w:w="1186"/>
          </w:tcPr>
          <w:p>
            <w:r>
              <w:rPr>
                <w:sz w:val="20"/>
              </w:rPr>
              <w:t>ETHUSDT/SOLUSDT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-4.1%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73.1%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7.7%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0.77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Убыточный</w:t>
            </w:r>
          </w:p>
        </w:tc>
      </w:tr>
      <w:tr>
        <w:tc>
          <w:tcPr>
            <w:tcW w:type="dxa" w:w="1186"/>
          </w:tcPr>
          <w:p>
            <w:r>
              <w:rPr>
                <w:sz w:val="20"/>
              </w:rPr>
              <w:t>SOLUSDT/ETHUSDT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-4.2%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70.4%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8.2%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0.77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Убыточный</w:t>
            </w:r>
          </w:p>
        </w:tc>
      </w:tr>
      <w:tr>
        <w:tc>
          <w:tcPr>
            <w:tcW w:type="dxa" w:w="1186"/>
          </w:tcPr>
          <w:p>
            <w:r>
              <w:rPr>
                <w:sz w:val="20"/>
              </w:rPr>
              <w:t>DOGEUSDT/ETHUSDT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-12.0%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53.3%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3.7%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0.33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Убыточный</w:t>
            </w:r>
          </w:p>
        </w:tc>
      </w:tr>
      <w:tr>
        <w:tc>
          <w:tcPr>
            <w:tcW w:type="dxa" w:w="1186"/>
          </w:tcPr>
          <w:p>
            <w:r>
              <w:rPr>
                <w:sz w:val="20"/>
              </w:rPr>
              <w:t>ETHUSDT/DOGEUSDT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-17.3%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56.2%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6.8%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0.30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Убыточный</w:t>
            </w:r>
          </w:p>
        </w:tc>
      </w:tr>
    </w:tbl>
    <w:p>
      <w:pPr>
        <w:pStyle w:val="Heading2"/>
      </w:pPr>
      <w:r>
        <w:t>Выводы</w:t>
      </w:r>
    </w:p>
    <w:p>
      <w:pPr>
        <w:pStyle w:val="ListBullet"/>
      </w:pPr>
      <w:r>
        <w:t>BTC/ETH — лучшая пара (+5.2%, PF 1.44)</w:t>
      </w:r>
    </w:p>
    <w:p>
      <w:pPr>
        <w:pStyle w:val="ListBullet"/>
      </w:pPr>
      <w:r>
        <w:t>ETH/BTC тоже прибыльна (+5.0%, PF 1.42) — стратегия работает в обе стороны</w:t>
      </w:r>
    </w:p>
    <w:p>
      <w:pPr>
        <w:pStyle w:val="ListBullet"/>
      </w:pPr>
      <w:r>
        <w:t>BTC/SOL и SOL/BTC на грани безубыточности (+0.6%, +0.4%)</w:t>
      </w:r>
    </w:p>
    <w:p>
      <w:pPr>
        <w:pStyle w:val="ListBullet"/>
      </w:pPr>
      <w:r>
        <w:t>Все пары с DOGE убыточные — DOGE слишком волатильный для спред-стратегии</w:t>
      </w:r>
    </w:p>
    <w:p>
      <w:pPr>
        <w:pStyle w:val="ListBullet"/>
      </w:pPr>
      <w:r>
        <w:t>ETH/SOL и SOL/ETH убыточные — недостаточная корреляция</w:t>
      </w:r>
    </w:p>
    <w:p>
      <w:r>
        <w:t>Рекомендация: использовать BTCUSDT/ETHUSDT как основную пару. Можно параллельно запустить ETHUSDT/BTCUSDT как зеркальную стратегию.</w:t>
      </w:r>
    </w:p>
    <w:p>
      <w:pPr>
        <w:pStyle w:val="Heading1"/>
      </w:pPr>
      <w:r>
        <w:t>7. Рекомендации</w:t>
      </w:r>
    </w:p>
    <w:p>
      <w:pPr>
        <w:pStyle w:val="ListNumber"/>
      </w:pPr>
      <w:r>
        <w:t>Запускать бота на 4h таймфрейме с параметрами ENTRY_Z=1.2, STOP_Z=3.5</w:t>
      </w:r>
    </w:p>
    <w:p>
      <w:pPr>
        <w:pStyle w:val="ListNumber"/>
      </w:pPr>
      <w:r>
        <w:t>Использовать пару BTCUSDT/ETHUSDT как основную</w:t>
      </w:r>
    </w:p>
    <w:p>
      <w:pPr>
        <w:pStyle w:val="ListNumber"/>
      </w:pPr>
      <w:r>
        <w:t>Мониторить журнал сделок (trade_journal.csv) и логи (spread_bot.log)</w:t>
      </w:r>
    </w:p>
    <w:p>
      <w:pPr>
        <w:pStyle w:val="ListNumber"/>
      </w:pPr>
      <w:r>
        <w:t>Регулярно проводить повторную оптимизацию на свежих данных</w:t>
      </w:r>
    </w:p>
    <w:p>
      <w:pPr>
        <w:pStyle w:val="ListNumber"/>
      </w:pPr>
      <w:r>
        <w:t>Рассмотреть увеличение размера позиции при стабильной прибыльности</w:t>
      </w:r>
    </w:p>
    <w:p>
      <w:pPr>
        <w:pStyle w:val="ListNumber"/>
      </w:pPr>
      <w:r>
        <w:t>Не превышать 10% максимальной просадки — при достижении остановить бота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