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5A27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среде TSLab существует </w:t>
      </w:r>
      <w:bookmarkStart w:id="0" w:name="_GoBack"/>
      <w:r>
        <w:t>множество прибыльных стратегий</w:t>
      </w:r>
      <w:bookmarkEnd w:id="0"/>
      <w:r>
        <w:t>, которые можно реализовать как с помощью визуального редактора, так и через загрузку готовых скриптов. Вот описание наиболее популярных и эффективных подходов, а также примеры их логики.</w:t>
      </w:r>
    </w:p>
    <w:p w14:paraId="0432763B">
      <w:pPr>
        <w:pStyle w:val="2"/>
        <w:keepNext w:val="0"/>
        <w:keepLines w:val="0"/>
        <w:widowControl/>
        <w:suppressLineNumbers w:val="0"/>
      </w:pPr>
      <w:r>
        <w:t>1. Стратегии на основе осцилляторов (RSI, CCI, ADX, Aroon)</w:t>
      </w:r>
    </w:p>
    <w:p w14:paraId="124B19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RSI (Индекс относительной силы):</w:t>
      </w:r>
      <w:r>
        <w:t xml:space="preserve"> Классическая и модернизированная логика. Базовый вариант — вход в лонг при выходе RSI из зоны перепроданности (например, ниже 30 и возврат выше), вход в шорт — при выходе из зоны перекупленности (выше 70 и возврат ниже). Модернизированные версии используют пересечение RSI с его экспоненциальной скользящей средней (EMA) или центральным уровнем 50, а также реверсивные входы после срабатывания стоп-лосса для попытки поймать разворот тренда. Выход — по обратному сигналу, фиксированному стоп-лоссу или плавающему тейк-профиту.</w:t>
      </w:r>
    </w:p>
    <w:p w14:paraId="319F8E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CCI (Индекс товарного канала):</w:t>
      </w:r>
      <w:r>
        <w:t xml:space="preserve"> Покупка при подъеме CCI выше 100, продажа — при падении ниже -100. Также используются варианты с пересечением нулевой линии.</w:t>
      </w:r>
    </w:p>
    <w:p w14:paraId="3D801C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ADX (Индекс среднего направления движения):</w:t>
      </w:r>
      <w:r>
        <w:t xml:space="preserve"> Вход в лонг, если +DI выше -DI и ADX растёт; вход в шорт — если +DI ниже -DI и ADX растёт. Выход — при смене направления или падении ADX.</w:t>
      </w:r>
    </w:p>
    <w:p w14:paraId="4E6C59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Aroon:</w:t>
      </w:r>
      <w:r>
        <w:t xml:space="preserve"> Вход в лонг, если AroonUp &gt; AroonDown; в шорт — если наоборот. Равенство значений указывает на консолидацию.</w:t>
      </w:r>
    </w:p>
    <w:p w14:paraId="30C841BF">
      <w:pPr>
        <w:pStyle w:val="2"/>
        <w:keepNext w:val="0"/>
        <w:keepLines w:val="0"/>
        <w:widowControl/>
        <w:suppressLineNumbers w:val="0"/>
      </w:pPr>
      <w:r>
        <w:t>2. Пробойные стратегии и работа с каналами</w:t>
      </w:r>
    </w:p>
    <w:p w14:paraId="0DDBD4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Пробой ценовых экстремумов:</w:t>
      </w:r>
      <w:r>
        <w:t xml:space="preserve"> Вход в лонг при пробитии максимума за период, вход в шорт — при пробитии минимума. Выход из позиции часто осуществляется по индикатору AMA или обратному пробою.</w:t>
      </w:r>
    </w:p>
    <w:p w14:paraId="746408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Торговля по каналам стандартного отклонения:</w:t>
      </w:r>
      <w:r>
        <w:t xml:space="preserve"> Строится канал вокруг скользящей средней (например, SMA) с границами на расстоянии 3 стандартных отклонений. Вход в шорт — у верхней границы, в лонг — у нижней. Выход — по средней линии канала.</w:t>
      </w:r>
    </w:p>
    <w:p w14:paraId="0874567A">
      <w:pPr>
        <w:pStyle w:val="2"/>
        <w:keepNext w:val="0"/>
        <w:keepLines w:val="0"/>
        <w:widowControl/>
        <w:suppressLineNumbers w:val="0"/>
      </w:pPr>
      <w:r>
        <w:t>3. Управление позицией и сопровождение</w:t>
      </w:r>
    </w:p>
    <w:p w14:paraId="5C83D7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Трейлинг-стоп (плавающий тейк-профит):</w:t>
      </w:r>
      <w:r>
        <w:t xml:space="preserve"> После достижения целевого уровня прибыли стоп-лосс подтягивается за ценой на небольшом отступе, что позволяет брать максимальное движение в тренде и закрывать позицию на откате.</w:t>
      </w:r>
    </w:p>
    <w:p w14:paraId="6A9C94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Мартингейл:</w:t>
      </w:r>
      <w:r>
        <w:t xml:space="preserve"> Стратегия с увеличением объема позиции после убыточной сделки. В TSLab реализуются роботы, использующие этот подход (например, "RS_Martingale"), однако такие системы требуют строгого контроля рисков.</w:t>
      </w:r>
    </w:p>
    <w:p w14:paraId="6E51737A">
      <w:pPr>
        <w:pStyle w:val="2"/>
        <w:keepNext w:val="0"/>
        <w:keepLines w:val="0"/>
        <w:widowControl/>
        <w:suppressLineNumbers w:val="0"/>
      </w:pPr>
      <w:r>
        <w:t>4. Готовые решения и скрипты</w:t>
      </w:r>
    </w:p>
    <w:p w14:paraId="5D9D69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На профильных форумах и сайтах можно найти бесплатные и платные скрипты для TSLab. Например, была протестирована популярная стратегия с TradingView "Captain Backtest Model [TFO]" (одна сделка в день, фиксированные стоп и тейк в процентах), а также наборы из 8 модификаций роботов на RSI с открытым кодом, которые можно дорабатывать под себя.</w:t>
      </w:r>
    </w:p>
    <w:p w14:paraId="331FC040">
      <w:pPr>
        <w:pStyle w:val="2"/>
        <w:keepNext w:val="0"/>
        <w:keepLines w:val="0"/>
        <w:widowControl/>
        <w:suppressLineNumbers w:val="0"/>
      </w:pPr>
      <w:r>
        <w:t>Рекомендации по применению:</w:t>
      </w:r>
    </w:p>
    <w:p w14:paraId="62FB8C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Тестирование:</w:t>
      </w:r>
      <w:r>
        <w:t xml:space="preserve"> Обязательно проводите бэктесты на исторических данных для выбранного инструмента и таймфрейма.</w:t>
      </w:r>
    </w:p>
    <w:p w14:paraId="11A37A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Оптимизация параметров:</w:t>
      </w:r>
      <w:r>
        <w:t xml:space="preserve"> Подбирайте периоды индикаторов, уровни стоп-лосс/тейк-профит индивидуально под рынок.</w:t>
      </w:r>
    </w:p>
    <w:p w14:paraId="57A67E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Риск-менеджмент:</w:t>
      </w:r>
      <w:r>
        <w:t xml:space="preserve"> Используйте фиксированный риск на сделку и не допускайте одновременного открытия разнонаправленных позиций без веских оснований.</w:t>
      </w:r>
    </w:p>
    <w:p w14:paraId="0BEF89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Визуальный редактор:</w:t>
      </w:r>
      <w:r>
        <w:t xml:space="preserve"> В TSLab все перечисленные стратегии можно реализовать без программирования, используя блочный интерфейс и готовые примеры из документации.</w:t>
      </w:r>
    </w:p>
    <w:p w14:paraId="5B4F757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более глубокого изучения доступны видеоуроки по созданию роботов в TSLab и готовые комплекты скриптов с поддержкой и инструкциями по загрузке.</w:t>
      </w:r>
    </w:p>
    <w:p w14:paraId="52DE4C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18B21"/>
    <w:multiLevelType w:val="multilevel"/>
    <w:tmpl w:val="E5418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1749B2"/>
    <w:multiLevelType w:val="multilevel"/>
    <w:tmpl w:val="141749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4845185F"/>
    <w:multiLevelType w:val="multilevel"/>
    <w:tmpl w:val="48451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B1333CF"/>
    <w:multiLevelType w:val="multilevel"/>
    <w:tmpl w:val="6B133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8190B89"/>
    <w:multiLevelType w:val="multilevel"/>
    <w:tmpl w:val="78190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E728F"/>
    <w:rsid w:val="60AE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2026-06-27T09:04:00Z</dcterms:created>
  <dc:creator>WPS_1754844414</dc:creator>
  <cp:lastModifiedBy>WPS_1754844414</cp:lastModifiedBy>
  <dcterms:modified xsi:type="dcterms:W3CDTF">2026-06-27T09:05:25Z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B6B8F53D2C2A42FCA860CBDCDA866597_11</vt:lpwstr>
  </property>
  <property fmtid="{D5CDD505-2E9C-101B-9397-08002B2CF9AE}" pid="4" name="KSOTemplateDocerSaveRecord">
    <vt:lpwstr>eyJoZGlkIjoiYTA3NWU3NTczODZkZGFmNTc0ODRjYTllMTFjZTgzMzciLCJ1c2VySWQiOiI4NDI0ODAxMDM2NDgifQ==</vt:lpwstr>
  </property>
</Properties>
</file>