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68B0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</w:rPr>
      </w:pPr>
      <w:bookmarkStart w:id="0" w:name="_GoBack"/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Реинвестирование прибыли</w:t>
      </w:r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 — настройка, которая автоматически добавляет часть NET-дохода от закрытой сделки в депозит бота, увеличивая объём следующих позиций.</w:t>
      </w:r>
    </w:p>
    <w:p w14:paraId="082783B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rPr>
          <w:b/>
          <w:bCs/>
          <w:color w:val="17181C"/>
          <w:sz w:val="52"/>
          <w:szCs w:val="52"/>
        </w:rPr>
      </w:pPr>
      <w:r>
        <w:rPr>
          <w:b/>
          <w:bCs/>
          <w:i w:val="0"/>
          <w:iCs w:val="0"/>
          <w:caps w:val="0"/>
          <w:color w:val="17181C"/>
          <w:spacing w:val="0"/>
          <w:sz w:val="52"/>
          <w:szCs w:val="52"/>
          <w:shd w:val="clear" w:fill="FFFFFF"/>
        </w:rPr>
        <w:t>Как работает</w:t>
      </w:r>
    </w:p>
    <w:p w14:paraId="32BF0F32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После каждой закрытой сделки с плюсом бот:</w:t>
      </w:r>
    </w:p>
    <w:p w14:paraId="5267B9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Считает NET-доход по сделке.</w:t>
      </w:r>
    </w:p>
    <w:p w14:paraId="2F888A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Берёт заданный процент от этой суммы.</w:t>
      </w:r>
    </w:p>
    <w:p w14:paraId="456A68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Прибавляет результат к депозиту.</w:t>
      </w:r>
    </w:p>
    <w:p w14:paraId="07D222B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Сумма реинвеста = NET-доход × процент реинвестирования</w:t>
      </w:r>
    </w:p>
    <w:p w14:paraId="28696D8A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Работает в реальных ботах и бэктестах.</w:t>
      </w:r>
    </w:p>
    <w:p w14:paraId="1EEDB96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rPr>
          <w:b/>
          <w:bCs/>
          <w:color w:val="0F1C8A"/>
          <w:sz w:val="27"/>
          <w:szCs w:val="27"/>
        </w:rPr>
      </w:pPr>
      <w:r>
        <w:rPr>
          <w:b/>
          <w:bCs/>
          <w:color w:val="0F1C8A"/>
          <w:sz w:val="27"/>
          <w:szCs w:val="27"/>
        </w:rPr>
        <w:t>Примечание</w:t>
      </w:r>
    </w:p>
    <w:p w14:paraId="0658062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t>В статистике сумма реинвеста не отображается — изменение видно только через обновлённый депозит в карточке бота. NET-доход считается без учёта фандинга.</w:t>
      </w:r>
    </w:p>
    <w:p w14:paraId="6B96E4D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rPr>
          <w:b/>
          <w:bCs/>
          <w:color w:val="17181C"/>
          <w:sz w:val="52"/>
          <w:szCs w:val="52"/>
        </w:rPr>
      </w:pPr>
      <w:r>
        <w:rPr>
          <w:b/>
          <w:bCs/>
          <w:i w:val="0"/>
          <w:iCs w:val="0"/>
          <w:caps w:val="0"/>
          <w:color w:val="17181C"/>
          <w:spacing w:val="0"/>
          <w:sz w:val="52"/>
          <w:szCs w:val="52"/>
          <w:shd w:val="clear" w:fill="FFFFFF"/>
        </w:rPr>
        <w:t>Ограничения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64"/>
        <w:gridCol w:w="2153"/>
        <w:gridCol w:w="1967"/>
      </w:tblGrid>
      <w:tr w14:paraId="6869A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bottom w:val="single" w:color="C1C3C8" w:sz="6" w:space="0"/>
            </w:tcBorders>
            <w:shd w:val="clear" w:color="auto" w:fill="FFFFFF"/>
            <w:vAlign w:val="top"/>
          </w:tcPr>
          <w:p w14:paraId="06F49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7181C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7181C"/>
                <w:spacing w:val="0"/>
                <w:kern w:val="0"/>
                <w:sz w:val="27"/>
                <w:szCs w:val="27"/>
                <w:vertAlign w:val="baseline"/>
                <w:lang w:val="en-US" w:eastAsia="zh-CN" w:bidi="ar"/>
              </w:rPr>
              <w:t>Параметр</w:t>
            </w:r>
          </w:p>
        </w:tc>
        <w:tc>
          <w:tcPr>
            <w:tcW w:w="0" w:type="auto"/>
            <w:tcBorders>
              <w:bottom w:val="single" w:color="C1C3C8" w:sz="6" w:space="0"/>
            </w:tcBorders>
            <w:shd w:val="clear" w:color="auto" w:fill="FFFFFF"/>
            <w:vAlign w:val="top"/>
          </w:tcPr>
          <w:p w14:paraId="3E51E34D">
            <w:pPr>
              <w:keepNext w:val="0"/>
              <w:keepLines w:val="0"/>
              <w:widowControl/>
              <w:suppressLineNumbers w:val="0"/>
              <w:spacing w:before="240" w:beforeAutospacing="0" w:after="0" w:afterAutospacing="0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7181C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7181C"/>
                <w:spacing w:val="0"/>
                <w:kern w:val="0"/>
                <w:sz w:val="27"/>
                <w:szCs w:val="27"/>
                <w:vertAlign w:val="baseline"/>
                <w:lang w:val="en-US" w:eastAsia="zh-CN" w:bidi="ar"/>
              </w:rPr>
              <w:t>Спот</w:t>
            </w:r>
          </w:p>
        </w:tc>
        <w:tc>
          <w:tcPr>
            <w:tcW w:w="0" w:type="auto"/>
            <w:tcBorders>
              <w:bottom w:val="single" w:color="C1C3C8" w:sz="6" w:space="0"/>
            </w:tcBorders>
            <w:shd w:val="clear" w:color="auto" w:fill="FFFFFF"/>
            <w:vAlign w:val="top"/>
          </w:tcPr>
          <w:p w14:paraId="129742AD">
            <w:pPr>
              <w:keepNext w:val="0"/>
              <w:keepLines w:val="0"/>
              <w:widowControl/>
              <w:suppressLineNumbers w:val="0"/>
              <w:spacing w:before="240" w:beforeAutospacing="0" w:after="0" w:afterAutospacing="0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7181C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7181C"/>
                <w:spacing w:val="0"/>
                <w:kern w:val="0"/>
                <w:sz w:val="27"/>
                <w:szCs w:val="27"/>
                <w:vertAlign w:val="baseline"/>
                <w:lang w:val="en-US" w:eastAsia="zh-CN" w:bidi="ar"/>
              </w:rPr>
              <w:t>Фьючерсы</w:t>
            </w:r>
          </w:p>
        </w:tc>
      </w:tr>
      <w:tr w14:paraId="22128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1C3C8" w:sz="6" w:space="0"/>
            </w:tcBorders>
            <w:shd w:val="clear" w:color="auto" w:fill="FFFFFF"/>
            <w:vAlign w:val="top"/>
          </w:tcPr>
          <w:p w14:paraId="2AAE0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53841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53841"/>
                <w:spacing w:val="0"/>
                <w:kern w:val="0"/>
                <w:sz w:val="27"/>
                <w:szCs w:val="27"/>
                <w:vertAlign w:val="baseline"/>
                <w:lang w:val="en-US" w:eastAsia="zh-CN" w:bidi="ar"/>
              </w:rPr>
              <w:t>Процент реинвестирования</w:t>
            </w:r>
          </w:p>
        </w:tc>
        <w:tc>
          <w:tcPr>
            <w:tcW w:w="0" w:type="auto"/>
            <w:tcBorders>
              <w:bottom w:val="single" w:color="C1C3C8" w:sz="6" w:space="0"/>
            </w:tcBorders>
            <w:shd w:val="clear" w:color="auto" w:fill="FFFFFF"/>
            <w:vAlign w:val="top"/>
          </w:tcPr>
          <w:p w14:paraId="353A847A">
            <w:pPr>
              <w:keepNext w:val="0"/>
              <w:keepLines w:val="0"/>
              <w:widowControl/>
              <w:suppressLineNumbers w:val="0"/>
              <w:spacing w:before="240" w:beforeAutospacing="0" w:after="0" w:afterAutospacing="0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53841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53841"/>
                <w:spacing w:val="0"/>
                <w:kern w:val="0"/>
                <w:sz w:val="27"/>
                <w:szCs w:val="27"/>
                <w:vertAlign w:val="baseline"/>
                <w:lang w:val="en-US" w:eastAsia="zh-CN" w:bidi="ar"/>
              </w:rPr>
              <w:t>Любое значение</w:t>
            </w:r>
          </w:p>
        </w:tc>
        <w:tc>
          <w:tcPr>
            <w:tcW w:w="0" w:type="auto"/>
            <w:tcBorders>
              <w:bottom w:val="single" w:color="C1C3C8" w:sz="6" w:space="0"/>
            </w:tcBorders>
            <w:shd w:val="clear" w:color="auto" w:fill="FFFFFF"/>
            <w:vAlign w:val="top"/>
          </w:tcPr>
          <w:p w14:paraId="5206C40A">
            <w:pPr>
              <w:keepNext w:val="0"/>
              <w:keepLines w:val="0"/>
              <w:widowControl/>
              <w:suppressLineNumbers w:val="0"/>
              <w:spacing w:before="240" w:beforeAutospacing="0" w:after="0" w:afterAutospacing="0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53841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53841"/>
                <w:spacing w:val="0"/>
                <w:kern w:val="0"/>
                <w:sz w:val="27"/>
                <w:szCs w:val="27"/>
                <w:vertAlign w:val="baseline"/>
                <w:lang w:val="en-US" w:eastAsia="zh-CN" w:bidi="ar"/>
              </w:rPr>
              <w:t>Максимум 50%</w:t>
            </w:r>
          </w:p>
        </w:tc>
      </w:tr>
    </w:tbl>
    <w:p w14:paraId="448725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При закрытии сделки в минус реинвестирование 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не применяется</w:t>
      </w: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.</w:t>
      </w:r>
    </w:p>
    <w:p w14:paraId="2862BA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Расчёт ведётся от NET-дохода — уже после вычета торговых комиссий биржи.</w:t>
      </w:r>
    </w:p>
    <w:p w14:paraId="1246C46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rPr>
          <w:b/>
          <w:bCs/>
          <w:color w:val="17181C"/>
          <w:sz w:val="52"/>
          <w:szCs w:val="52"/>
        </w:rPr>
      </w:pPr>
      <w:r>
        <w:rPr>
          <w:b/>
          <w:bCs/>
          <w:i w:val="0"/>
          <w:iCs w:val="0"/>
          <w:caps w:val="0"/>
          <w:color w:val="17181C"/>
          <w:spacing w:val="0"/>
          <w:sz w:val="52"/>
          <w:szCs w:val="52"/>
          <w:shd w:val="clear" w:fill="FFFFFF"/>
        </w:rPr>
        <w:t>Примеры</w:t>
      </w:r>
    </w:p>
    <w:p w14:paraId="5D7EE8FB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</w:rPr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Пример 1: сделка в плюс</w:t>
      </w:r>
    </w:p>
    <w:p w14:paraId="1E6CB5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Депозит бота = 1000 USDT</w:t>
      </w:r>
    </w:p>
    <w:p w14:paraId="4821E4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Процент реинвестирования = 20%</w:t>
      </w:r>
    </w:p>
    <w:p w14:paraId="478056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NET-доход по сделке = 50 USDT</w:t>
      </w:r>
    </w:p>
    <w:p w14:paraId="5741D82B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Реинвест: 50 × 20% = 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10 USDT</w:t>
      </w: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 → новый депозит: 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1010 USDT</w:t>
      </w: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.</w:t>
      </w:r>
    </w:p>
    <w:p w14:paraId="22AFCD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4D89C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</w:rPr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Пример 2: сделка в минус</w:t>
      </w:r>
    </w:p>
    <w:p w14:paraId="39952B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Убыток по сделке = −30 USDT</w:t>
      </w:r>
    </w:p>
    <w:p w14:paraId="0B8F5338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Реинвестирование 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не срабатывает</w:t>
      </w: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. Депозит остаётся без изменений.</w:t>
      </w:r>
    </w:p>
    <w:p w14:paraId="123B22F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rPr>
          <w:b/>
          <w:bCs/>
          <w:color w:val="17181C"/>
          <w:sz w:val="52"/>
          <w:szCs w:val="52"/>
        </w:rPr>
      </w:pPr>
      <w:r>
        <w:rPr>
          <w:b/>
          <w:bCs/>
          <w:i w:val="0"/>
          <w:iCs w:val="0"/>
          <w:caps w:val="0"/>
          <w:color w:val="17181C"/>
          <w:spacing w:val="0"/>
          <w:sz w:val="52"/>
          <w:szCs w:val="52"/>
          <w:shd w:val="clear" w:fill="FFFFFF"/>
        </w:rPr>
        <w:t>Влияние на стратегию</w:t>
      </w:r>
    </w:p>
    <w:p w14:paraId="5ED41697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Каждая успешная сделка увеличивает депозит — следующие позиции открываются с бо́льшим объёмом, что со временем повышает абсолютный доход.</w:t>
      </w:r>
    </w:p>
    <w:p w14:paraId="6F2A4489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Обратная сторона: бот также 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несёт бо́льшие потери</w:t>
      </w: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 при убыточных сделках, так как работает с растущим депозитом.</w:t>
      </w:r>
    </w:p>
    <w:p w14:paraId="2863982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rPr>
          <w:b/>
          <w:bCs/>
          <w:color w:val="73520D"/>
          <w:sz w:val="27"/>
          <w:szCs w:val="27"/>
        </w:rPr>
      </w:pPr>
      <w:r>
        <w:rPr>
          <w:b/>
          <w:bCs/>
          <w:color w:val="73520D"/>
          <w:sz w:val="27"/>
          <w:szCs w:val="27"/>
        </w:rPr>
        <w:t>Важно</w:t>
      </w:r>
    </w:p>
    <w:p w14:paraId="28AF2E1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</w:rPr>
        <w:t>Не используйте реинвестирование совместно со стоп-лоссом</w:t>
      </w:r>
      <w:r>
        <w:t> без ручного контроля. После срабатывания стопа депозит бота остаётся увеличенным, хотя реальный капитал уменьшился. Активируйте в боте «Остановить бота после исполнения стоп-лосса», после остановки вручную откорректируйте депозит до безопасного значения и только потом запускайте бота снова.</w:t>
      </w:r>
    </w:p>
    <w:p w14:paraId="40ED36B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rPr>
          <w:b/>
          <w:bCs/>
          <w:color w:val="17181C"/>
          <w:sz w:val="52"/>
          <w:szCs w:val="52"/>
        </w:rPr>
      </w:pPr>
      <w:r>
        <w:rPr>
          <w:b/>
          <w:bCs/>
          <w:i w:val="0"/>
          <w:iCs w:val="0"/>
          <w:caps w:val="0"/>
          <w:color w:val="17181C"/>
          <w:spacing w:val="0"/>
          <w:sz w:val="52"/>
          <w:szCs w:val="52"/>
          <w:shd w:val="clear" w:fill="FFFFFF"/>
        </w:rPr>
        <w:t>Итог</w:t>
      </w:r>
    </w:p>
    <w:p w14:paraId="2C38F2E2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Используйте реинвестирование, если:</w:t>
      </w:r>
    </w:p>
    <w:p w14:paraId="5D3587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стратегия стабильно закрывает сделки в плюс;</w:t>
      </w:r>
    </w:p>
    <w:p w14:paraId="57EC57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вы готовы периодически проверять и корректировать депозит вручную;</w:t>
      </w:r>
    </w:p>
    <w:p w14:paraId="5B7636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стоп-лосс либо отключён, либо вы контролируете депозит после каждого его срабатывания.</w:t>
      </w:r>
    </w:p>
    <w:p w14:paraId="4E8BEB0B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Перед запуском в реальном боте обязательно оцените эффект через </w:t>
      </w:r>
      <w:r>
        <w:rPr>
          <w:rFonts w:hint="default" w:ascii="Segoe UI" w:hAnsi="Segoe UI" w:eastAsia="Segoe UI" w:cs="Segoe UI"/>
          <w:i w:val="0"/>
          <w:iCs w:val="0"/>
          <w:caps w:val="0"/>
          <w:color w:val="ED800D"/>
          <w:spacing w:val="0"/>
          <w:sz w:val="27"/>
          <w:szCs w:val="27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ED800D"/>
          <w:spacing w:val="0"/>
          <w:sz w:val="27"/>
          <w:szCs w:val="27"/>
          <w:shd w:val="clear" w:fill="FFFFFF"/>
        </w:rPr>
        <w:instrText xml:space="preserve"> HYPERLINK "https://help.veles.finance/ru/platform/components/backtests/"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ED800D"/>
          <w:spacing w:val="0"/>
          <w:sz w:val="27"/>
          <w:szCs w:val="27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ED800D"/>
          <w:spacing w:val="0"/>
          <w:sz w:val="27"/>
          <w:szCs w:val="27"/>
          <w:shd w:val="clear" w:fill="FFFFFF"/>
        </w:rPr>
        <w:t>бэктест</w:t>
      </w:r>
      <w:r>
        <w:rPr>
          <w:rFonts w:hint="default" w:ascii="Segoe UI" w:hAnsi="Segoe UI" w:eastAsia="Segoe UI" w:cs="Segoe UI"/>
          <w:i w:val="0"/>
          <w:iCs w:val="0"/>
          <w:caps w:val="0"/>
          <w:color w:val="ED800D"/>
          <w:spacing w:val="0"/>
          <w:sz w:val="27"/>
          <w:szCs w:val="27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53841"/>
          <w:spacing w:val="0"/>
          <w:sz w:val="27"/>
          <w:szCs w:val="27"/>
          <w:shd w:val="clear" w:fill="FFFFFF"/>
        </w:rPr>
        <w:t>.</w:t>
      </w:r>
    </w:p>
    <w:p w14:paraId="067E09E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C8A84"/>
    <w:multiLevelType w:val="multilevel"/>
    <w:tmpl w:val="905C8A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A397F7"/>
    <w:multiLevelType w:val="multilevel"/>
    <w:tmpl w:val="90A39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375534D"/>
    <w:multiLevelType w:val="multilevel"/>
    <w:tmpl w:val="E37553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2E253795"/>
    <w:multiLevelType w:val="multilevel"/>
    <w:tmpl w:val="2E2537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53FF9D8"/>
    <w:multiLevelType w:val="multilevel"/>
    <w:tmpl w:val="653FF9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D3F2C"/>
    <w:rsid w:val="12ED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2026-06-26T20:05:00Z</dcterms:created>
  <dc:creator>WPS_1754844414</dc:creator>
  <cp:lastModifiedBy>WPS_1754844414</cp:lastModifiedBy>
  <dcterms:modified xsi:type="dcterms:W3CDTF">2026-06-26T20:06:31Z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70819BBEFDCA467188DCFBCC3926D8C2_11</vt:lpwstr>
  </property>
  <property fmtid="{D5CDD505-2E9C-101B-9397-08002B2CF9AE}" pid="4" name="KSOTemplateDocerSaveRecord">
    <vt:lpwstr>eyJoZGlkIjoiYTA3NWU3NTczODZkZGFmNTc0ODRjYTllMTFjZTgzMzciLCJ1c2VySWQiOiI4NDI0ODAxMDM2NDgifQ==</vt:lpwstr>
  </property>
</Properties>
</file>