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Стратегия GridBotRSI</w:t>
      </w:r>
    </w:p>
    <w:p>
      <w:pPr>
        <w:pStyle w:val="Heading1"/>
      </w:pPr>
      <w:r>
        <w:t>Описание стратегии</w:t>
      </w:r>
    </w:p>
    <w:p>
      <w:r>
        <w:t>Тип: Грид-стратегия с RSI фильтрацией</w:t>
      </w:r>
    </w:p>
    <w:p>
      <w:r>
        <w:t>Инструмент: ADAUSD_PERP (Cardano)</w:t>
      </w:r>
    </w:p>
    <w:p>
      <w:r>
        <w:t>Биржа: BinanceCoin-MFutures</w:t>
      </w:r>
    </w:p>
    <w:p>
      <w:r>
        <w:t>Таймфрейм: 30 минут</w:t>
      </w:r>
    </w:p>
    <w:p>
      <w:r>
        <w:t>Начальный депозит: 25 USDT</w:t>
      </w:r>
    </w:p>
    <w:p>
      <w:pPr>
        <w:pStyle w:val="Heading1"/>
      </w:pPr>
      <w:r>
        <w:t>Логика работы</w:t>
      </w:r>
    </w:p>
    <w:p>
      <w:pPr>
        <w:pStyle w:val="Heading2"/>
      </w:pPr>
      <w:r>
        <w:t>Вход в лонг:</w:t>
      </w:r>
    </w:p>
    <w:p>
      <w:r>
        <w:t>Условие: RSI_30 &lt; 35 (перепроданность)</w:t>
      </w:r>
    </w:p>
    <w:p>
      <w:r>
        <w:t>Цена входа: Close + 0.5% (шаг сетки)</w:t>
      </w:r>
    </w:p>
    <w:p>
      <w:r>
        <w:t>Размер позиции: 12.5 ADA (50% от баланса)</w:t>
      </w:r>
    </w:p>
    <w:p>
      <w:pPr>
        <w:pStyle w:val="Heading2"/>
      </w:pPr>
      <w:r>
        <w:t>Выход из лонга:</w:t>
      </w:r>
    </w:p>
    <w:p>
      <w:r>
        <w:t>Тейк-профит: Close + 0.5% (шаг сетки)</w:t>
      </w:r>
    </w:p>
    <w:p>
      <w:r>
        <w:t>Стоп-лосс: Close - 2%</w:t>
      </w:r>
    </w:p>
    <w:p>
      <w:pPr>
        <w:pStyle w:val="Heading2"/>
      </w:pPr>
      <w:r>
        <w:t>Вход в шорт:</w:t>
      </w:r>
    </w:p>
    <w:p>
      <w:r>
        <w:t>Условие: RSI_30 &gt; 50 (перекупленность)</w:t>
      </w:r>
    </w:p>
    <w:p>
      <w:r>
        <w:t>Цена входа: Close + 0.5%</w:t>
      </w:r>
    </w:p>
    <w:p>
      <w:r>
        <w:t>Размер позиции: 12.5 ADA</w:t>
      </w:r>
    </w:p>
    <w:p>
      <w:pPr>
        <w:pStyle w:val="Heading2"/>
      </w:pPr>
      <w:r>
        <w:t>Выход из шорта:</w:t>
      </w:r>
    </w:p>
    <w:p>
      <w:r>
        <w:t>Тейк-профит: Close - 1.5%</w:t>
      </w:r>
    </w:p>
    <w:p>
      <w:r>
        <w:t>Стоп-лосс: Close + 2%</w:t>
      </w:r>
    </w:p>
    <w:p>
      <w:pPr>
        <w:pStyle w:val="Heading1"/>
      </w:pPr>
      <w:r>
        <w:t>Оптимизированные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GridConst</w:t>
            </w:r>
          </w:p>
        </w:tc>
        <w:tc>
          <w:tcPr>
            <w:tcW w:type="dxa" w:w="2880"/>
          </w:tcPr>
          <w:p>
            <w:r>
              <w:t>0.005 (0.5%)</w:t>
            </w:r>
          </w:p>
        </w:tc>
        <w:tc>
          <w:tcPr>
            <w:tcW w:type="dxa" w:w="2880"/>
          </w:tcPr>
          <w:p>
            <w:r>
              <w:t>Шаг сетки для входа/выхода</w:t>
            </w:r>
          </w:p>
        </w:tc>
      </w:tr>
      <w:tr>
        <w:tc>
          <w:tcPr>
            <w:tcW w:type="dxa" w:w="2880"/>
          </w:tcPr>
          <w:p>
            <w:r>
              <w:t>StopStep</w:t>
            </w:r>
          </w:p>
        </w:tc>
        <w:tc>
          <w:tcPr>
            <w:tcW w:type="dxa" w:w="2880"/>
          </w:tcPr>
          <w:p>
            <w:r>
              <w:t>0.02 (2%)</w:t>
            </w:r>
          </w:p>
        </w:tc>
        <w:tc>
          <w:tcPr>
            <w:tcW w:type="dxa" w:w="2880"/>
          </w:tcPr>
          <w:p>
            <w:r>
              <w:t>Стоп-лосс</w:t>
            </w:r>
          </w:p>
        </w:tc>
      </w:tr>
      <w:tr>
        <w:tc>
          <w:tcPr>
            <w:tcW w:type="dxa" w:w="2880"/>
          </w:tcPr>
          <w:p>
            <w:r>
              <w:t>ShortTakeProfit</w:t>
            </w:r>
          </w:p>
        </w:tc>
        <w:tc>
          <w:tcPr>
            <w:tcW w:type="dxa" w:w="2880"/>
          </w:tcPr>
          <w:p>
            <w:r>
              <w:t>0.015 (1.5%)</w:t>
            </w:r>
          </w:p>
        </w:tc>
        <w:tc>
          <w:tcPr>
            <w:tcW w:type="dxa" w:w="2880"/>
          </w:tcPr>
          <w:p>
            <w:r>
              <w:t>Тейк-профит для шортов</w:t>
            </w:r>
          </w:p>
        </w:tc>
      </w:tr>
      <w:tr>
        <w:tc>
          <w:tcPr>
            <w:tcW w:type="dxa" w:w="2880"/>
          </w:tcPr>
          <w:p>
            <w:r>
              <w:t>RSI_Oversold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Порог перепроданности (лонг)</w:t>
            </w:r>
          </w:p>
        </w:tc>
      </w:tr>
      <w:tr>
        <w:tc>
          <w:tcPr>
            <w:tcW w:type="dxa" w:w="2880"/>
          </w:tcPr>
          <w:p>
            <w:r>
              <w:t>RSI_Overbought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Порог перекупленности (шорт)</w:t>
            </w:r>
          </w:p>
        </w:tc>
      </w:tr>
      <w:tr>
        <w:tc>
          <w:tcPr>
            <w:tcW w:type="dxa" w:w="2880"/>
          </w:tcPr>
          <w:p>
            <w:r>
              <w:t>Shares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Размер позиции (ADA)</w:t>
            </w:r>
          </w:p>
        </w:tc>
      </w:tr>
      <w:tr>
        <w:tc>
          <w:tcPr>
            <w:tcW w:type="dxa" w:w="2880"/>
          </w:tcPr>
          <w:p>
            <w:r>
              <w:t>Commission</w:t>
            </w:r>
          </w:p>
        </w:tc>
        <w:tc>
          <w:tcPr>
            <w:tcW w:type="dxa" w:w="2880"/>
          </w:tcPr>
          <w:p>
            <w:r>
              <w:t>0.05%</w:t>
            </w:r>
          </w:p>
        </w:tc>
        <w:tc>
          <w:tcPr>
            <w:tcW w:type="dxa" w:w="2880"/>
          </w:tcPr>
          <w:p>
            <w:r>
              <w:t>Комиссия за сделку</w:t>
            </w:r>
          </w:p>
        </w:tc>
      </w:tr>
      <w:tr>
        <w:tc>
          <w:tcPr>
            <w:tcW w:type="dxa" w:w="2880"/>
          </w:tcPr>
          <w:p>
            <w:r>
              <w:t>Margin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Маржа</w:t>
            </w:r>
          </w:p>
        </w:tc>
      </w:tr>
    </w:tbl>
    <w:p>
      <w:pPr>
        <w:pStyle w:val="Heading1"/>
      </w:pPr>
      <w:r>
        <w:t>Результаты бэктеста</w:t>
      </w:r>
    </w:p>
    <w:p>
      <w:pPr>
        <w:pStyle w:val="Heading2"/>
      </w:pPr>
      <w:r>
        <w:t>Период: 23.04.2026 - 22.06.2026 (60 дней)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Чистая прибыль</w:t>
            </w:r>
          </w:p>
        </w:tc>
        <w:tc>
          <w:tcPr>
            <w:tcW w:type="dxa" w:w="4320"/>
          </w:tcPr>
          <w:p>
            <w:r>
              <w:t>+100.22 ADA (+400.90%)</w:t>
            </w:r>
          </w:p>
        </w:tc>
      </w:tr>
      <w:tr>
        <w:tc>
          <w:tcPr>
            <w:tcW w:type="dxa" w:w="4320"/>
          </w:tcPr>
          <w:p>
            <w:r>
              <w:t>Всего сделок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1.26</w:t>
            </w:r>
          </w:p>
        </w:tc>
      </w:tr>
      <w:tr>
        <w:tc>
          <w:tcPr>
            <w:tcW w:type="dxa" w:w="4320"/>
          </w:tcPr>
          <w:p>
            <w:r>
              <w:t>% прибыльных сделок</w:t>
            </w:r>
          </w:p>
        </w:tc>
        <w:tc>
          <w:tcPr>
            <w:tcW w:type="dxa" w:w="4320"/>
          </w:tcPr>
          <w:p>
            <w:r>
              <w:t>55.56%</w:t>
            </w:r>
          </w:p>
        </w:tc>
      </w:tr>
      <w:tr>
        <w:tc>
          <w:tcPr>
            <w:tcW w:type="dxa" w:w="4320"/>
          </w:tcPr>
          <w:p>
            <w:r>
              <w:t>Максимальная просадка</w:t>
            </w:r>
          </w:p>
        </w:tc>
        <w:tc>
          <w:tcPr>
            <w:tcW w:type="dxa" w:w="4320"/>
          </w:tcPr>
          <w:p>
            <w:r>
              <w:t>-86.96%</w:t>
            </w:r>
          </w:p>
        </w:tc>
      </w:tr>
      <w:tr>
        <w:tc>
          <w:tcPr>
            <w:tcW w:type="dxa" w:w="4320"/>
          </w:tcPr>
          <w:p>
            <w:r>
              <w:t>Recovery Factor</w:t>
            </w:r>
          </w:p>
        </w:tc>
        <w:tc>
          <w:tcPr>
            <w:tcW w:type="dxa" w:w="4320"/>
          </w:tcPr>
          <w:p>
            <w:r>
              <w:t>0.34</w:t>
            </w:r>
          </w:p>
        </w:tc>
      </w:tr>
      <w:tr>
        <w:tc>
          <w:tcPr>
            <w:tcW w:type="dxa" w:w="4320"/>
          </w:tcPr>
          <w:p>
            <w:r>
              <w:t>Просадка по прибыли</w:t>
            </w:r>
          </w:p>
        </w:tc>
        <w:tc>
          <w:tcPr>
            <w:tcW w:type="dxa" w:w="4320"/>
          </w:tcPr>
          <w:p>
            <w:r>
              <w:t>-78.72%</w:t>
            </w:r>
          </w:p>
        </w:tc>
      </w:tr>
    </w:tbl>
    <w:p>
      <w:pPr>
        <w:pStyle w:val="Heading1"/>
      </w:pPr>
      <w:r>
        <w:t>Индикаторы на графике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Индикатор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Панель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RSI_30 (30 баров)</w:t>
            </w:r>
          </w:p>
        </w:tc>
        <w:tc>
          <w:tcPr>
            <w:tcW w:type="dxa" w:w="2880"/>
          </w:tcPr>
          <w:p>
            <w:r>
              <w:t>pane_rsi</w:t>
            </w:r>
          </w:p>
        </w:tc>
        <w:tc>
          <w:tcPr>
            <w:tcW w:type="dxa" w:w="2880"/>
          </w:tcPr>
          <w:p>
            <w:r>
              <w:t>Основной фильтр для входов</w:t>
            </w:r>
          </w:p>
        </w:tc>
      </w:tr>
      <w:tr>
        <w:tc>
          <w:tcPr>
            <w:tcW w:type="dxa" w:w="2880"/>
          </w:tcPr>
          <w:p>
            <w:r>
              <w:t>Bollinger Bands (20, 2)</w:t>
            </w:r>
          </w:p>
        </w:tc>
        <w:tc>
          <w:tcPr>
            <w:tcW w:type="dxa" w:w="2880"/>
          </w:tcPr>
          <w:p>
            <w:r>
              <w:t>pane_price</w:t>
            </w:r>
          </w:p>
        </w:tc>
        <w:tc>
          <w:tcPr>
            <w:tcW w:type="dxa" w:w="2880"/>
          </w:tcPr>
          <w:p>
            <w:r>
              <w:t>Полосы на графике цены</w:t>
            </w:r>
          </w:p>
        </w:tc>
      </w:tr>
      <w:tr>
        <w:tc>
          <w:tcPr>
            <w:tcW w:type="dxa" w:w="2880"/>
          </w:tcPr>
          <w:p>
            <w:r>
              <w:t>ATR (14 баров)</w:t>
            </w:r>
          </w:p>
        </w:tc>
        <w:tc>
          <w:tcPr>
            <w:tcW w:type="dxa" w:w="2880"/>
          </w:tcPr>
          <w:p>
            <w:r>
              <w:t>pane_atr</w:t>
            </w:r>
          </w:p>
        </w:tc>
        <w:tc>
          <w:tcPr>
            <w:tcW w:type="dxa" w:w="2880"/>
          </w:tcPr>
          <w:p>
            <w:r>
              <w:t>Средний истинный диапазон</w:t>
            </w:r>
          </w:p>
        </w:tc>
      </w:tr>
      <w:tr>
        <w:tc>
          <w:tcPr>
            <w:tcW w:type="dxa" w:w="2880"/>
          </w:tcPr>
          <w:p>
            <w:r>
              <w:t>MACD + MACDSig</w:t>
            </w:r>
          </w:p>
        </w:tc>
        <w:tc>
          <w:tcPr>
            <w:tcW w:type="dxa" w:w="2880"/>
          </w:tcPr>
          <w:p>
            <w:r>
              <w:t>pane_macd</w:t>
            </w:r>
          </w:p>
        </w:tc>
        <w:tc>
          <w:tcPr>
            <w:tcW w:type="dxa" w:w="2880"/>
          </w:tcPr>
          <w:p>
            <w:r>
              <w:t>Схождение/расхождение скользящих</w:t>
            </w:r>
          </w:p>
        </w:tc>
      </w:tr>
    </w:tbl>
    <w:p>
      <w:pPr>
        <w:pStyle w:val="Heading1"/>
      </w:pPr>
      <w:r>
        <w:t>Выводы</w:t>
      </w:r>
    </w:p>
    <w:p>
      <w:r>
        <w:t>1. Стратегия показала положительную динамику с доходностью +400.90% за 60 дней</w:t>
      </w:r>
    </w:p>
    <w:p>
      <w:r>
        <w:t>2. Просадка снижена до -86.96% (была -246.26%)</w:t>
      </w:r>
    </w:p>
    <w:p>
      <w:r>
        <w:t>3. Profit Factor 1.26 указывает на стабильную прибыльность</w:t>
      </w:r>
    </w:p>
    <w:p>
      <w:r>
        <w:t>4. Recovery Factor 0.34 означает хорошее восстановление после просадок</w:t>
      </w:r>
    </w:p>
    <w:p>
      <w:pPr>
        <w:pStyle w:val="Heading1"/>
      </w:pPr>
      <w:r>
        <w:t>Рекомендации</w:t>
      </w:r>
    </w:p>
    <w:p>
      <w:r>
        <w:t>1. Использовать таймфрейм 30 минут</w:t>
      </w:r>
    </w:p>
    <w:p>
      <w:r>
        <w:t>2. Устанавливать стоп-лосс не менее 2%</w:t>
      </w:r>
    </w:p>
    <w:p>
      <w:r>
        <w:t>3. Тейк-профит для шортов: 1.5%</w:t>
      </w:r>
    </w:p>
    <w:p>
      <w:r>
        <w:t>4. Фильтровать входы по RSI (35/50)</w:t>
      </w:r>
    </w:p>
    <w:p>
      <w:r>
        <w:t>5. Тестировать на ADAUSD_PERP</w:t>
      </w:r>
    </w:p>
    <w:p/>
    <w:p>
      <w:r>
        <w:t>Дата создания: 22 июня 2026 года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