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Стратегия GridBotRSI</w:t>
      </w:r>
    </w:p>
    <w:p>
      <w:pPr>
        <w:pStyle w:val="Heading1"/>
      </w:pPr>
      <w:r>
        <w:t>Описание стратегии</w:t>
      </w:r>
    </w:p>
    <w:p>
      <w:r>
        <w:t>Тип: Грид-стратегия с RSI фильтрацией</w:t>
      </w:r>
    </w:p>
    <w:p>
      <w:r>
        <w:t>Лучший инструмент: ADAUSD_PERP (Cardano)</w:t>
      </w:r>
    </w:p>
    <w:p>
      <w:r>
        <w:t>Биржа: BinanceCoin-MFutures</w:t>
      </w:r>
    </w:p>
    <w:p>
      <w:r>
        <w:t>Таймфрейм: 30 минут</w:t>
      </w:r>
    </w:p>
    <w:p>
      <w:r>
        <w:t>Начальный депозит: 25 USDT</w:t>
      </w:r>
    </w:p>
    <w:p>
      <w:pPr>
        <w:pStyle w:val="Heading1"/>
      </w:pPr>
      <w:r>
        <w:t>Логика работы</w:t>
      </w:r>
    </w:p>
    <w:p>
      <w:pPr>
        <w:pStyle w:val="Heading2"/>
      </w:pPr>
      <w:r>
        <w:t>Вход в лонг:</w:t>
      </w:r>
    </w:p>
    <w:p>
      <w:r>
        <w:t>Условие: RSI_30 &lt; 40 (перепроданность)</w:t>
      </w:r>
    </w:p>
    <w:p>
      <w:r>
        <w:t>Цена входа: Close + GridConst (текущая цена + шаг сетки)</w:t>
      </w:r>
    </w:p>
    <w:p>
      <w:r>
        <w:t>Размер позиции: 12.5 ADA (50% от баланса)</w:t>
      </w:r>
    </w:p>
    <w:p>
      <w:pPr>
        <w:pStyle w:val="Heading2"/>
      </w:pPr>
      <w:r>
        <w:t>Выход из лонга:</w:t>
      </w:r>
    </w:p>
    <w:p>
      <w:r>
        <w:t>Тейк-профит: Close + GridConst (шаг сетки)</w:t>
      </w:r>
    </w:p>
    <w:p>
      <w:r>
        <w:t>Стоп-лосс: Close - StopStep (стоп-шаг)</w:t>
      </w:r>
    </w:p>
    <w:p>
      <w:pPr>
        <w:pStyle w:val="Heading2"/>
      </w:pPr>
      <w:r>
        <w:t>Вход в шорт:</w:t>
      </w:r>
    </w:p>
    <w:p>
      <w:r>
        <w:t>Условие: RSI_30 &gt; 60 (перекупленность)</w:t>
      </w:r>
    </w:p>
    <w:p>
      <w:r>
        <w:t>Цена входа: Close + GridConst</w:t>
      </w:r>
    </w:p>
    <w:p>
      <w:r>
        <w:t>Размер позиции: 12.5 ADA</w:t>
      </w:r>
    </w:p>
    <w:p>
      <w:pPr>
        <w:pStyle w:val="Heading2"/>
      </w:pPr>
      <w:r>
        <w:t>Выход из шорта:</w:t>
      </w:r>
    </w:p>
    <w:p>
      <w:r>
        <w:t>Тейк-профит: Close - ShortTakeProfit</w:t>
      </w:r>
    </w:p>
    <w:p>
      <w:r>
        <w:t>Стоп-лосс: Close + StopStep</w:t>
      </w:r>
    </w:p>
    <w:p>
      <w:pPr>
        <w:pStyle w:val="Heading1"/>
      </w:pPr>
      <w:r>
        <w:t>Оптимизированные параметры (ADAUSD_PERP)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GridConst</w:t>
            </w:r>
          </w:p>
        </w:tc>
        <w:tc>
          <w:tcPr>
            <w:tcW w:type="dxa" w:w="2880"/>
          </w:tcPr>
          <w:p>
            <w:r>
              <w:t>0.006 (0.6%)</w:t>
            </w:r>
          </w:p>
        </w:tc>
        <w:tc>
          <w:tcPr>
            <w:tcW w:type="dxa" w:w="2880"/>
          </w:tcPr>
          <w:p>
            <w:r>
              <w:t>Шаг сетки для входа/выхода</w:t>
            </w:r>
          </w:p>
        </w:tc>
      </w:tr>
      <w:tr>
        <w:tc>
          <w:tcPr>
            <w:tcW w:type="dxa" w:w="2880"/>
          </w:tcPr>
          <w:p>
            <w:r>
              <w:t>StopStep</w:t>
            </w:r>
          </w:p>
        </w:tc>
        <w:tc>
          <w:tcPr>
            <w:tcW w:type="dxa" w:w="2880"/>
          </w:tcPr>
          <w:p>
            <w:r>
              <w:t>0.025 (2.5%)</w:t>
            </w:r>
          </w:p>
        </w:tc>
        <w:tc>
          <w:tcPr>
            <w:tcW w:type="dxa" w:w="2880"/>
          </w:tcPr>
          <w:p>
            <w:r>
              <w:t>Стоп-лосс</w:t>
            </w:r>
          </w:p>
        </w:tc>
      </w:tr>
      <w:tr>
        <w:tc>
          <w:tcPr>
            <w:tcW w:type="dxa" w:w="2880"/>
          </w:tcPr>
          <w:p>
            <w:r>
              <w:t>ShortTakeProfit</w:t>
            </w:r>
          </w:p>
        </w:tc>
        <w:tc>
          <w:tcPr>
            <w:tcW w:type="dxa" w:w="2880"/>
          </w:tcPr>
          <w:p>
            <w:r>
              <w:t>0.025 (2.5%)</w:t>
            </w:r>
          </w:p>
        </w:tc>
        <w:tc>
          <w:tcPr>
            <w:tcW w:type="dxa" w:w="2880"/>
          </w:tcPr>
          <w:p>
            <w:r>
              <w:t>Тейк-профит для шортов</w:t>
            </w:r>
          </w:p>
        </w:tc>
      </w:tr>
      <w:tr>
        <w:tc>
          <w:tcPr>
            <w:tcW w:type="dxa" w:w="2880"/>
          </w:tcPr>
          <w:p>
            <w:r>
              <w:t>RSI_Oversold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Порог перепроданности</w:t>
            </w:r>
          </w:p>
        </w:tc>
      </w:tr>
      <w:tr>
        <w:tc>
          <w:tcPr>
            <w:tcW w:type="dxa" w:w="2880"/>
          </w:tcPr>
          <w:p>
            <w:r>
              <w:t>RSI_Overbought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Порог перекупленности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Размер позиции (ADA)</w:t>
            </w:r>
          </w:p>
        </w:tc>
      </w:tr>
      <w:tr>
        <w:tc>
          <w:tcPr>
            <w:tcW w:type="dxa" w:w="2880"/>
          </w:tcPr>
          <w:p>
            <w:r>
              <w:t>Commission</w:t>
            </w:r>
          </w:p>
        </w:tc>
        <w:tc>
          <w:tcPr>
            <w:tcW w:type="dxa" w:w="2880"/>
          </w:tcPr>
          <w:p>
            <w:r>
              <w:t>0.05%</w:t>
            </w:r>
          </w:p>
        </w:tc>
        <w:tc>
          <w:tcPr>
            <w:tcW w:type="dxa" w:w="2880"/>
          </w:tcPr>
          <w:p>
            <w:r>
              <w:t>Комиссия за сделку</w:t>
            </w:r>
          </w:p>
        </w:tc>
      </w:tr>
    </w:tbl>
    <w:p>
      <w:pPr>
        <w:pStyle w:val="Heading1"/>
      </w:pPr>
      <w:r>
        <w:t>Результаты тестирования</w:t>
      </w:r>
    </w:p>
    <w:p>
      <w:pPr>
        <w:pStyle w:val="Heading2"/>
      </w:pPr>
      <w:r>
        <w:t>Тест на ADAUSD_PERP (60 дней) - ЛУЧШИЙ РЕЗУЛЬТАТ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23.04.2026 - 22.06.2026</w:t>
            </w:r>
          </w:p>
        </w:tc>
      </w:tr>
      <w:tr>
        <w:tc>
          <w:tcPr>
            <w:tcW w:type="dxa" w:w="4320"/>
          </w:tcPr>
          <w:p>
            <w:r>
              <w:t>Чистая прибыль</w:t>
            </w:r>
          </w:p>
        </w:tc>
        <w:tc>
          <w:tcPr>
            <w:tcW w:type="dxa" w:w="4320"/>
          </w:tcPr>
          <w:p>
            <w:r>
              <w:t>+71.46 ADA (+285.85%)</w:t>
            </w:r>
          </w:p>
        </w:tc>
      </w:tr>
      <w:tr>
        <w:tc>
          <w:tcPr>
            <w:tcW w:type="dxa" w:w="4320"/>
          </w:tcPr>
          <w:p>
            <w:r>
              <w:t>Всего сделок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1.23</w:t>
            </w:r>
          </w:p>
        </w:tc>
      </w:tr>
      <w:tr>
        <w:tc>
          <w:tcPr>
            <w:tcW w:type="dxa" w:w="4320"/>
          </w:tcPr>
          <w:p>
            <w:r>
              <w:t>% прибыльных</w:t>
            </w:r>
          </w:p>
        </w:tc>
        <w:tc>
          <w:tcPr>
            <w:tcW w:type="dxa" w:w="4320"/>
          </w:tcPr>
          <w:p>
            <w:r>
              <w:t>33.33%</w:t>
            </w:r>
          </w:p>
        </w:tc>
      </w:tr>
      <w:tr>
        <w:tc>
          <w:tcPr>
            <w:tcW w:type="dxa" w:w="4320"/>
          </w:tcPr>
          <w:p>
            <w:r>
              <w:t>Recovery Factor</w:t>
            </w:r>
          </w:p>
        </w:tc>
        <w:tc>
          <w:tcPr>
            <w:tcW w:type="dxa" w:w="4320"/>
          </w:tcPr>
          <w:p>
            <w:r>
              <w:t>0.23</w:t>
            </w:r>
          </w:p>
        </w:tc>
      </w:tr>
    </w:tbl>
    <w:p>
      <w:pPr>
        <w:pStyle w:val="Heading1"/>
      </w:pPr>
      <w:r>
        <w:t>Сравнение всех инструментов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Инструмент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Прибыль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Сделки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Profit Factor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% прибыльных</w:t>
            </w:r>
          </w:p>
        </w:tc>
      </w:tr>
      <w:tr>
        <w:tc>
          <w:tcPr>
            <w:tcW w:type="dxa" w:w="1728"/>
          </w:tcPr>
          <w:p>
            <w:r>
              <w:t>DOGEUSD_PERP</w:t>
            </w:r>
          </w:p>
        </w:tc>
        <w:tc>
          <w:tcPr>
            <w:tcW w:type="dxa" w:w="1728"/>
          </w:tcPr>
          <w:p>
            <w:r>
              <w:t>-202.11 DOGE (-808%)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SOLUSD_PERP</w:t>
            </w:r>
          </w:p>
        </w:tc>
        <w:tc>
          <w:tcPr>
            <w:tcW w:type="dxa" w:w="1728"/>
          </w:tcPr>
          <w:p>
            <w:r>
              <w:t>-16.33 SOL (-65.31%)</w:t>
            </w:r>
          </w:p>
        </w:tc>
        <w:tc>
          <w:tcPr>
            <w:tcW w:type="dxa" w:w="1728"/>
          </w:tcPr>
          <w:p>
            <w:r>
              <w:t>597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20.27%</w:t>
            </w:r>
          </w:p>
        </w:tc>
      </w:tr>
      <w:tr>
        <w:tc>
          <w:tcPr>
            <w:tcW w:type="dxa" w:w="1728"/>
          </w:tcPr>
          <w:p>
            <w:r>
              <w:t>AVAXUSD_PERP</w:t>
            </w:r>
          </w:p>
        </w:tc>
        <w:tc>
          <w:tcPr>
            <w:tcW w:type="dxa" w:w="1728"/>
          </w:tcPr>
          <w:p>
            <w:r>
              <w:t>-5.90 AVAX (-23.58%)</w:t>
            </w:r>
          </w:p>
        </w:tc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0.67</w:t>
            </w:r>
          </w:p>
        </w:tc>
        <w:tc>
          <w:tcPr>
            <w:tcW w:type="dxa" w:w="1728"/>
          </w:tcPr>
          <w:p>
            <w:r>
              <w:t>48.91%</w:t>
            </w:r>
          </w:p>
        </w:tc>
      </w:tr>
      <w:tr>
        <w:tc>
          <w:tcPr>
            <w:tcW w:type="dxa" w:w="1728"/>
          </w:tcPr>
          <w:p>
            <w:r>
              <w:t>LINKUSD_PERP</w:t>
            </w:r>
          </w:p>
        </w:tc>
        <w:tc>
          <w:tcPr>
            <w:tcW w:type="dxa" w:w="1728"/>
          </w:tcPr>
          <w:p>
            <w:r>
              <w:t>-7.73 LINK (-30.93%)</w:t>
            </w:r>
          </w:p>
        </w:tc>
        <w:tc>
          <w:tcPr>
            <w:tcW w:type="dxa" w:w="1728"/>
          </w:tcPr>
          <w:p>
            <w:r>
              <w:t>549</w:t>
            </w:r>
          </w:p>
        </w:tc>
        <w:tc>
          <w:tcPr>
            <w:tcW w:type="dxa" w:w="1728"/>
          </w:tcPr>
          <w:p>
            <w:r>
              <w:t>0.57</w:t>
            </w:r>
          </w:p>
        </w:tc>
        <w:tc>
          <w:tcPr>
            <w:tcW w:type="dxa" w:w="1728"/>
          </w:tcPr>
          <w:p>
            <w:r>
              <w:t>40.26%</w:t>
            </w:r>
          </w:p>
        </w:tc>
      </w:tr>
      <w:tr>
        <w:tc>
          <w:tcPr>
            <w:tcW w:type="dxa" w:w="1728"/>
          </w:tcPr>
          <w:p>
            <w:r>
              <w:t>DOTUSD_PERP</w:t>
            </w:r>
          </w:p>
        </w:tc>
        <w:tc>
          <w:tcPr>
            <w:tcW w:type="dxa" w:w="1728"/>
          </w:tcPr>
          <w:p>
            <w:r>
              <w:t>+9.27 DOT (+37.09%)</w:t>
            </w:r>
          </w:p>
        </w:tc>
        <w:tc>
          <w:tcPr>
            <w:tcW w:type="dxa" w:w="1728"/>
          </w:tcPr>
          <w:p>
            <w:r>
              <w:t>209</w:t>
            </w:r>
          </w:p>
        </w:tc>
        <w:tc>
          <w:tcPr>
            <w:tcW w:type="dxa" w:w="1728"/>
          </w:tcPr>
          <w:p>
            <w:r>
              <w:t>1.09</w:t>
            </w:r>
          </w:p>
        </w:tc>
        <w:tc>
          <w:tcPr>
            <w:tcW w:type="dxa" w:w="1728"/>
          </w:tcPr>
          <w:p>
            <w:r>
              <w:t>59.33%</w:t>
            </w:r>
          </w:p>
        </w:tc>
      </w:tr>
      <w:tr>
        <w:tc>
          <w:tcPr>
            <w:tcW w:type="dxa" w:w="1728"/>
          </w:tcPr>
          <w:p>
            <w:r>
              <w:t>SUIUSD_PERP</w:t>
            </w:r>
          </w:p>
        </w:tc>
        <w:tc>
          <w:tcPr>
            <w:tcW w:type="dxa" w:w="1728"/>
          </w:tcPr>
          <w:p>
            <w:r>
              <w:t>-47.93 SUI (-191.73%)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48.40%</w:t>
            </w:r>
          </w:p>
        </w:tc>
      </w:tr>
      <w:tr>
        <w:tc>
          <w:tcPr>
            <w:tcW w:type="dxa" w:w="1728"/>
          </w:tcPr>
          <w:p>
            <w:r>
              <w:t>NEARUSD_PERP</w:t>
            </w:r>
          </w:p>
        </w:tc>
        <w:tc>
          <w:tcPr>
            <w:tcW w:type="dxa" w:w="1728"/>
          </w:tcPr>
          <w:p>
            <w:r>
              <w:t>-11.39 NEAR (-45.57%)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0.91</w:t>
            </w:r>
          </w:p>
        </w:tc>
        <w:tc>
          <w:tcPr>
            <w:tcW w:type="dxa" w:w="1728"/>
          </w:tcPr>
          <w:p>
            <w:r>
              <w:t>51.28%</w:t>
            </w:r>
          </w:p>
        </w:tc>
      </w:tr>
      <w:tr>
        <w:tc>
          <w:tcPr>
            <w:tcW w:type="dxa" w:w="1728"/>
          </w:tcPr>
          <w:p>
            <w:r>
              <w:t>AAVEUSD_PERP</w:t>
            </w:r>
          </w:p>
        </w:tc>
        <w:tc>
          <w:tcPr>
            <w:tcW w:type="dxa" w:w="1728"/>
          </w:tcPr>
          <w:p>
            <w:r>
              <w:t>-13.71 AAVE (-54.84%)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0.05</w:t>
            </w:r>
          </w:p>
        </w:tc>
        <w:tc>
          <w:tcPr>
            <w:tcW w:type="dxa" w:w="1728"/>
          </w:tcPr>
          <w:p>
            <w:r>
              <w:t>24.69%</w:t>
            </w:r>
          </w:p>
        </w:tc>
      </w:tr>
      <w:tr>
        <w:tc>
          <w:tcPr>
            <w:tcW w:type="dxa" w:w="1728"/>
          </w:tcPr>
          <w:p>
            <w:r>
              <w:t>ETCUSD_PERP</w:t>
            </w:r>
          </w:p>
        </w:tc>
        <w:tc>
          <w:tcPr>
            <w:tcW w:type="dxa" w:w="1728"/>
          </w:tcPr>
          <w:p>
            <w:r>
              <w:t>-6.09 ETC (-24.36%)</w:t>
            </w:r>
          </w:p>
        </w:tc>
        <w:tc>
          <w:tcPr>
            <w:tcW w:type="dxa" w:w="1728"/>
          </w:tcPr>
          <w:p>
            <w:r>
              <w:t>489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44.99%</w:t>
            </w:r>
          </w:p>
        </w:tc>
      </w:tr>
      <w:tr>
        <w:tc>
          <w:tcPr>
            <w:tcW w:type="dxa" w:w="1728"/>
          </w:tcPr>
          <w:p>
            <w:r>
              <w:t>ADAUSD_PERP</w:t>
            </w:r>
          </w:p>
        </w:tc>
        <w:tc>
          <w:tcPr>
            <w:tcW w:type="dxa" w:w="1728"/>
          </w:tcPr>
          <w:p>
            <w:r>
              <w:t>+71.46 ADA (+285.85%)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1.23</w:t>
            </w:r>
          </w:p>
        </w:tc>
        <w:tc>
          <w:tcPr>
            <w:tcW w:type="dxa" w:w="1728"/>
          </w:tcPr>
          <w:p>
            <w:r>
              <w:t>33.33%</w:t>
            </w:r>
          </w:p>
        </w:tc>
      </w:tr>
    </w:tbl>
    <w:p>
      <w:pPr>
        <w:pStyle w:val="Heading1"/>
      </w:pPr>
      <w:r>
        <w:t>Выводы</w:t>
      </w:r>
    </w:p>
    <w:p>
      <w:r>
        <w:t>1. Стратегия показала положительные результаты на 2 инструментах из 10</w:t>
      </w:r>
    </w:p>
    <w:p>
      <w:r>
        <w:t>2. Лучший результат: ADAUSD_PERP +285.85% за 60 дней</w:t>
      </w:r>
    </w:p>
    <w:p>
      <w:r>
        <w:t>3. Второй лучший результат: DOTUSD_PERP +37.09% за 60 дней</w:t>
      </w:r>
    </w:p>
    <w:p>
      <w:r>
        <w:t>4. Стратегия лучше работает на инструментах с умеренной волатильностью</w:t>
      </w:r>
    </w:p>
    <w:p>
      <w:r>
        <w:t>5. Для коротких периодов (60 дней) рекомендуется использовать ADAUSD_PERP</w:t>
      </w:r>
    </w:p>
    <w:p>
      <w:pPr>
        <w:pStyle w:val="Heading1"/>
      </w:pPr>
      <w:r>
        <w:t>Рекомендации</w:t>
      </w:r>
    </w:p>
    <w:p>
      <w:r>
        <w:t>1. Использовать таймфрейм 30 минут</w:t>
      </w:r>
    </w:p>
    <w:p>
      <w:r>
        <w:t>2. Устанавливать стоп-лосс не менее 2.5%</w:t>
      </w:r>
    </w:p>
    <w:p>
      <w:r>
        <w:t>3. Тейк-профит не менее 2.5%</w:t>
      </w:r>
    </w:p>
    <w:p>
      <w:r>
        <w:t>4. Фильтровать входы по RSI (40/60)</w:t>
      </w:r>
    </w:p>
    <w:p>
      <w:r>
        <w:t>5. Тестировать на ADAUSD_PERP или DOTUSD_PERP</w:t>
      </w:r>
    </w:p>
    <w:p/>
    <w:p>
      <w:r>
        <w:t>Дата создания: 22 июня 2026 года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