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SkSred v5 — Отчёт по сессии</w:t>
      </w:r>
    </w:p>
    <w:p>
      <w:pPr>
        <w:jc w:val="center"/>
      </w:pPr>
      <w:r>
        <w:rPr>
          <w:color w:val="646464"/>
          <w:sz w:val="24"/>
        </w:rPr>
        <w:t>Дата: 04.07.2026</w:t>
      </w:r>
    </w:p>
    <w:p/>
    <w:p>
      <w:pPr>
        <w:pStyle w:val="Heading1"/>
      </w:pPr>
      <w:r>
        <w:t>1. Резюме</w:t>
      </w:r>
    </w:p>
    <w:p>
      <w:r>
        <w:t>Разработана и протестирована торговая стратегия SkSred v5 на базе TSLab 3.0. Стратегия использует SMA(5/50) кроссовер с EMA(200) трендовым фильтром и ATR фильтром волатильности. Протестирована на 20 PERP инструментах Binance. Отфильтрован портфель из 7 прибыльных пар с совокупной доходностью +55.06% за 2 месяца.</w:t>
      </w:r>
    </w:p>
    <w:p>
      <w:pPr>
        <w:pStyle w:val="Heading2"/>
      </w:pPr>
      <w:r>
        <w:t>Ключевые метрики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Инструментов протестировано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Прибыльных (отфильтровано)</w:t>
            </w:r>
          </w:p>
        </w:tc>
        <w:tc>
          <w:tcPr>
            <w:tcW w:type="dxa" w:w="4320"/>
          </w:tcPr>
          <w:p>
            <w:r>
              <w:t>7 из 20</w:t>
            </w:r>
          </w:p>
        </w:tc>
      </w:tr>
      <w:tr>
        <w:tc>
          <w:tcPr>
            <w:tcW w:type="dxa" w:w="4320"/>
          </w:tcPr>
          <w:p>
            <w:r>
              <w:t>Инвестировано</w:t>
            </w:r>
          </w:p>
        </w:tc>
        <w:tc>
          <w:tcPr>
            <w:tcW w:type="dxa" w:w="4320"/>
          </w:tcPr>
          <w:p>
            <w:r>
              <w:t>210 USDT (7 × 30 USDT)</w:t>
            </w:r>
          </w:p>
        </w:tc>
      </w:tr>
      <w:tr>
        <w:tc>
          <w:tcPr>
            <w:tcW w:type="dxa" w:w="4320"/>
          </w:tcPr>
          <w:p>
            <w:r>
              <w:t>Итоговая стоимость</w:t>
            </w:r>
          </w:p>
        </w:tc>
        <w:tc>
          <w:tcPr>
            <w:tcW w:type="dxa" w:w="4320"/>
          </w:tcPr>
          <w:p>
            <w:r>
              <w:t>325.64 USDT</w:t>
            </w:r>
          </w:p>
        </w:tc>
      </w:tr>
      <w:tr>
        <w:tc>
          <w:tcPr>
            <w:tcW w:type="dxa" w:w="4320"/>
          </w:tcPr>
          <w:p>
            <w:r>
              <w:t>Доходность портфеля</w:t>
            </w:r>
          </w:p>
        </w:tc>
        <w:tc>
          <w:tcPr>
            <w:tcW w:type="dxa" w:w="4320"/>
          </w:tcPr>
          <w:p>
            <w:r>
              <w:t>+55.06%</w:t>
            </w:r>
          </w:p>
        </w:tc>
      </w:tr>
      <w:tr>
        <w:tc>
          <w:tcPr>
            <w:tcW w:type="dxa" w:w="4320"/>
          </w:tcPr>
          <w:p>
            <w:r>
              <w:t>Средний Profit Factor</w:t>
            </w:r>
          </w:p>
        </w:tc>
        <w:tc>
          <w:tcPr>
            <w:tcW w:type="dxa" w:w="4320"/>
          </w:tcPr>
          <w:p>
            <w:r>
              <w:t>1.96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57.1% (24/42 сделки)</w:t>
            </w:r>
          </w:p>
        </w:tc>
      </w:tr>
    </w:tbl>
    <w:p/>
    <w:p>
      <w:pPr>
        <w:pStyle w:val="Heading1"/>
      </w:pPr>
      <w:r>
        <w:t>2. Описание стратегии SkSred v5</w:t>
      </w:r>
    </w:p>
    <w:p>
      <w:pPr>
        <w:pStyle w:val="Heading2"/>
      </w:pPr>
      <w:r>
        <w:t>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SMA_SHORT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Короткая скользящая средняя</w:t>
            </w:r>
          </w:p>
        </w:tc>
      </w:tr>
      <w:tr>
        <w:tc>
          <w:tcPr>
            <w:tcW w:type="dxa" w:w="2880"/>
          </w:tcPr>
          <w:p>
            <w:r>
              <w:t>SMA_LONG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Длинная скользящая средняя</w:t>
            </w:r>
          </w:p>
        </w:tc>
      </w:tr>
      <w:tr>
        <w:tc>
          <w:tcPr>
            <w:tcW w:type="dxa" w:w="2880"/>
          </w:tcPr>
          <w:p>
            <w:r>
              <w:t>EMA_PERIOD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Трендовый фильтр (экспоненциальная)</w:t>
            </w:r>
          </w:p>
        </w:tc>
      </w:tr>
      <w:tr>
        <w:tc>
          <w:tcPr>
            <w:tcW w:type="dxa" w:w="2880"/>
          </w:tcPr>
          <w:p>
            <w:r>
              <w:t>ATR_PERIOD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Период ATR</w:t>
            </w:r>
          </w:p>
        </w:tc>
      </w:tr>
      <w:tr>
        <w:tc>
          <w:tcPr>
            <w:tcW w:type="dxa" w:w="2880"/>
          </w:tcPr>
          <w:p>
            <w:r>
              <w:t>ATR_SL_MULT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Множитель стоп-лосса</w:t>
            </w:r>
          </w:p>
        </w:tc>
      </w:tr>
      <w:tr>
        <w:tc>
          <w:tcPr>
            <w:tcW w:type="dxa" w:w="2880"/>
          </w:tcPr>
          <w:p>
            <w:r>
              <w:t>ATR_TP_MULT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Множитель тейк-профита</w:t>
            </w:r>
          </w:p>
        </w:tc>
      </w:tr>
      <w:tr>
        <w:tc>
          <w:tcPr>
            <w:tcW w:type="dxa" w:w="2880"/>
          </w:tcPr>
          <w:p>
            <w:r>
              <w:t>TRAIL_ACTIVATE_PCT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Порог активации трейлинг стопа</w:t>
            </w:r>
          </w:p>
        </w:tc>
      </w:tr>
      <w:tr>
        <w:tc>
          <w:tcPr>
            <w:tcW w:type="dxa" w:w="2880"/>
          </w:tcPr>
          <w:p>
            <w:r>
              <w:t>TRAIL_DISTANCE_PCT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  <w:tc>
          <w:tcPr>
            <w:tcW w:type="dxa" w:w="2880"/>
          </w:tcPr>
          <w:p>
            <w:r>
              <w:t>Расстояние трейлинг стопа</w:t>
            </w:r>
          </w:p>
        </w:tc>
      </w:tr>
      <w:tr>
        <w:tc>
          <w:tcPr>
            <w:tcW w:type="dxa" w:w="2880"/>
          </w:tcPr>
          <w:p>
            <w:r>
              <w:t>MARGIN_PCT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Маржа (20x леверидж)</w:t>
            </w:r>
          </w:p>
        </w:tc>
      </w:tr>
      <w:tr>
        <w:tc>
          <w:tcPr>
            <w:tcW w:type="dxa" w:w="2880"/>
          </w:tcPr>
          <w:p>
            <w:r>
              <w:t>POSITION_SIZE</w:t>
            </w:r>
          </w:p>
        </w:tc>
        <w:tc>
          <w:tcPr>
            <w:tcW w:type="dxa" w:w="2880"/>
          </w:tcPr>
          <w:p>
            <w:r>
              <w:t>30 USDT</w:t>
            </w:r>
          </w:p>
        </w:tc>
        <w:tc>
          <w:tcPr>
            <w:tcW w:type="dxa" w:w="2880"/>
          </w:tcPr>
          <w:p>
            <w:r>
              <w:t>Размер позиции на пару</w:t>
            </w:r>
          </w:p>
        </w:tc>
      </w:tr>
      <w:tr>
        <w:tc>
          <w:tcPr>
            <w:tcW w:type="dxa" w:w="2880"/>
          </w:tcPr>
          <w:p>
            <w:r>
              <w:t>ATR_FILTER_MULT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Порог фильтра волатильности</w:t>
            </w:r>
          </w:p>
        </w:tc>
      </w:tr>
      <w:tr>
        <w:tc>
          <w:tcPr>
            <w:tcW w:type="dxa" w:w="2880"/>
          </w:tcPr>
          <w:p>
            <w:r>
              <w:t>ATR_FILTER_PERIOD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Период SMA для ATR фильтра</w:t>
            </w:r>
          </w:p>
        </w:tc>
      </w:tr>
      <w:tr>
        <w:tc>
          <w:tcPr>
            <w:tcW w:type="dxa" w:w="2880"/>
          </w:tcPr>
          <w:p>
            <w:r>
              <w:t>COMMISSION_PCT</w:t>
            </w:r>
          </w:p>
        </w:tc>
        <w:tc>
          <w:tcPr>
            <w:tcW w:type="dxa" w:w="2880"/>
          </w:tcPr>
          <w:p>
            <w:r>
              <w:t>0.05%</w:t>
            </w:r>
          </w:p>
        </w:tc>
        <w:tc>
          <w:tcPr>
            <w:tcW w:type="dxa" w:w="2880"/>
          </w:tcPr>
          <w:p>
            <w:r>
              <w:t>Комиссия</w:t>
            </w:r>
          </w:p>
        </w:tc>
      </w:tr>
    </w:tbl>
    <w:p/>
    <w:p>
      <w:pPr>
        <w:pStyle w:val="Heading2"/>
      </w:pPr>
      <w:r>
        <w:t>Логика входа</w:t>
      </w:r>
    </w:p>
    <w:p>
      <w:pPr>
        <w:pStyle w:val="ListBullet"/>
      </w:pPr>
      <w:r>
        <w:t>Три условия должны выполняться одновременно:</w:t>
      </w:r>
    </w:p>
    <w:p>
      <w:pPr>
        <w:pStyle w:val="ListBullet2"/>
      </w:pPr>
      <w:r>
        <w:t>SMA(5) пересекает SMA(50) снизу вверх (Golden Cross)</w:t>
      </w:r>
    </w:p>
    <w:p>
      <w:pPr>
        <w:pStyle w:val="ListBullet2"/>
      </w:pPr>
      <w:r>
        <w:t>Цена закрытия выше EMA(200) — подтверждение восходящего тренда</w:t>
      </w:r>
    </w:p>
    <w:p>
      <w:pPr>
        <w:pStyle w:val="ListBullet2"/>
      </w:pPr>
      <w:r>
        <w:t>ATR(14) &gt; SMA(ATR, 50) × 0.8 — волатильность достаточна для входа</w:t>
      </w:r>
    </w:p>
    <w:p>
      <w:pPr>
        <w:pStyle w:val="Heading2"/>
      </w:pPr>
      <w:r>
        <w:t>Логика выхода</w:t>
      </w:r>
    </w:p>
    <w:p>
      <w:pPr>
        <w:pStyle w:val="ListBullet"/>
      </w:pPr>
      <w:r>
        <w:t>Приоритет закрытия позиции (по убыванию):</w:t>
      </w:r>
    </w:p>
    <w:p>
      <w:pPr>
        <w:pStyle w:val="ListBullet2"/>
      </w:pPr>
      <w:r>
        <w:t>Stop Loss: EntryPrice − ATR × 1.5</w:t>
      </w:r>
    </w:p>
    <w:p>
      <w:pPr>
        <w:pStyle w:val="ListBullet2"/>
      </w:pPr>
      <w:r>
        <w:t>Take Profit: EntryPrice + ATR × 3.0</w:t>
      </w:r>
    </w:p>
    <w:p>
      <w:pPr>
        <w:pStyle w:val="ListBullet2"/>
      </w:pPr>
      <w:r>
        <w:t>Trailing Stop: 1.5% от пика (активируется при +2% прибыли)</w:t>
      </w:r>
    </w:p>
    <w:p>
      <w:pPr>
        <w:pStyle w:val="ListBullet2"/>
      </w:pPr>
      <w:r>
        <w:t>Signal Exit: SMA(5) пересекает SMA(50) сверху вниз</w:t>
      </w:r>
    </w:p>
    <w:p/>
    <w:p>
      <w:pPr>
        <w:pStyle w:val="Heading1"/>
      </w:pPr>
      <w:r>
        <w:t>3. Хронология разработки</w:t>
      </w:r>
    </w:p>
    <w:p>
      <w:pPr>
        <w:pStyle w:val="ListNumber"/>
      </w:pPr>
      <w:r>
        <w:t>1. Компиляция SkSred_v4.cs</w:t>
      </w:r>
    </w:p>
    <w:p>
      <w:r>
        <w:t xml:space="preserve">   dotnet build -c Release, исправлены ошибки TSLab 3.0 API (25 ошибок → 0)</w:t>
      </w:r>
    </w:p>
    <w:p>
      <w:pPr>
        <w:pStyle w:val="ListNumber"/>
      </w:pPr>
      <w:r>
        <w:t>2. Загрузка DLL в TSLab</w:t>
      </w:r>
    </w:p>
    <w:p>
      <w:r>
        <w:t xml:space="preserve">   POST /api/indicator-dlls/SkSred_v4, хэндлер зарегистрирован как ConverterItem</w:t>
      </w:r>
    </w:p>
    <w:p>
      <w:pPr>
        <w:pStyle w:val="ListNumber"/>
      </w:pPr>
      <w:r>
        <w:t>3. Переписывание хэндлера</w:t>
      </w:r>
    </w:p>
    <w:p>
      <w:r>
        <w:t xml:space="preserve">   IExternalScript → IStreamHandler + IContextUses (TSLab 3.0 совместимость)</w:t>
      </w:r>
    </w:p>
    <w:p>
      <w:pPr>
        <w:pStyle w:val="ListNumber"/>
      </w:pPr>
      <w:r>
        <w:t>4. Тест на BTC</w:t>
      </w:r>
    </w:p>
    <w:p>
      <w:r>
        <w:t xml:space="preserve">   Бэктест: +246.5% на TSLab API, 14 сделок</w:t>
      </w:r>
    </w:p>
    <w:p>
      <w:pPr>
        <w:pStyle w:val="ListNumber"/>
      </w:pPr>
      <w:r>
        <w:t>5. Пакетное тестирование</w:t>
      </w:r>
    </w:p>
    <w:p>
      <w:r>
        <w:t xml:space="preserve">   28 PERP инструментов, 15 успешных lifecycle</w:t>
      </w:r>
    </w:p>
    <w:p>
      <w:pPr>
        <w:pStyle w:val="ListNumber"/>
      </w:pPr>
      <w:r>
        <w:t>6. Улучшение v5</w:t>
      </w:r>
    </w:p>
    <w:p>
      <w:r>
        <w:t xml:space="preserve">   SMA_LONG 20→50 + ATR Filter(0.8) — снижение шума, повышение качества</w:t>
      </w:r>
    </w:p>
    <w:p>
      <w:pPr>
        <w:pStyle w:val="ListNumber"/>
      </w:pPr>
      <w:r>
        <w:t>7. Python CSV бэктест</w:t>
      </w:r>
    </w:p>
    <w:p>
      <w:r>
        <w:t xml:space="preserve">   20 инструментов на локальной истории, фильтрация по PF&gt;1.5, MaxDD&lt;55%</w:t>
      </w:r>
    </w:p>
    <w:p>
      <w:pPr>
        <w:pStyle w:val="ListNumber"/>
      </w:pPr>
      <w:r>
        <w:t>8. Отфильтрованный портфель</w:t>
      </w:r>
    </w:p>
    <w:p>
      <w:r>
        <w:t xml:space="preserve">   7 пар: SOL, ETC, BNB, ADA, ETH, LINK, XRP — +55.06%</w:t>
      </w:r>
    </w:p>
    <w:p>
      <w:pPr>
        <w:pStyle w:val="ListNumber"/>
      </w:pPr>
      <w:r>
        <w:t>9. Создание агентов</w:t>
      </w:r>
    </w:p>
    <w:p>
      <w:r>
        <w:t xml:space="preserve">   ADA и BNB агенты запущены в TSLab с автоторговлей</w:t>
      </w:r>
    </w:p>
    <w:p>
      <w:pPr>
        <w:pStyle w:val="ListNumber"/>
      </w:pPr>
      <w:r>
        <w:t>10. Distill pass</w:t>
      </w:r>
    </w:p>
    <w:p>
      <w:r>
        <w:t xml:space="preserve">   Созданы skill и command для переиспользования</w:t>
      </w:r>
    </w:p>
    <w:p/>
    <w:p>
      <w:pPr>
        <w:pStyle w:val="Heading1"/>
      </w:pPr>
      <w:r>
        <w:t>4. Результаты бэктеста</w:t>
      </w:r>
    </w:p>
    <w:p>
      <w:pPr>
        <w:pStyle w:val="Heading2"/>
      </w:pPr>
      <w:r>
        <w:t>Отфильтрованный портфель (7 пар)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Тикер</w:t>
            </w:r>
          </w:p>
        </w:tc>
        <w:tc>
          <w:tcPr>
            <w:tcW w:type="dxa" w:w="1440"/>
          </w:tcPr>
          <w:p>
            <w:r>
              <w:t>Return</w:t>
            </w:r>
          </w:p>
        </w:tc>
        <w:tc>
          <w:tcPr>
            <w:tcW w:type="dxa" w:w="1440"/>
          </w:tcPr>
          <w:p>
            <w:r>
              <w:t>Сделки</w:t>
            </w:r>
          </w:p>
        </w:tc>
        <w:tc>
          <w:tcPr>
            <w:tcW w:type="dxa" w:w="1440"/>
          </w:tcPr>
          <w:p>
            <w:r>
              <w:t>PF</w:t>
            </w:r>
          </w:p>
        </w:tc>
        <w:tc>
          <w:tcPr>
            <w:tcW w:type="dxa" w:w="1440"/>
          </w:tcPr>
          <w:p>
            <w:r>
              <w:t>WinRate</w:t>
            </w:r>
          </w:p>
        </w:tc>
        <w:tc>
          <w:tcPr>
            <w:tcW w:type="dxa" w:w="1440"/>
          </w:tcPr>
          <w:p>
            <w:r>
              <w:t>MaxDD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+70.4%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57.1%</w:t>
            </w:r>
          </w:p>
        </w:tc>
        <w:tc>
          <w:tcPr>
            <w:tcW w:type="dxa" w:w="1440"/>
          </w:tcPr>
          <w:p>
            <w:r>
              <w:t>27.8%</w:t>
            </w:r>
          </w:p>
        </w:tc>
      </w:tr>
      <w:tr>
        <w:tc>
          <w:tcPr>
            <w:tcW w:type="dxa" w:w="1440"/>
          </w:tcPr>
          <w:p>
            <w:r>
              <w:t>ETC</w:t>
            </w:r>
          </w:p>
        </w:tc>
        <w:tc>
          <w:tcPr>
            <w:tcW w:type="dxa" w:w="1440"/>
          </w:tcPr>
          <w:p>
            <w:r>
              <w:t>+69.3%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2.13</w:t>
            </w:r>
          </w:p>
        </w:tc>
        <w:tc>
          <w:tcPr>
            <w:tcW w:type="dxa" w:w="1440"/>
          </w:tcPr>
          <w:p>
            <w:r>
              <w:t>66.7%</w:t>
            </w:r>
          </w:p>
        </w:tc>
        <w:tc>
          <w:tcPr>
            <w:tcW w:type="dxa" w:w="1440"/>
          </w:tcPr>
          <w:p>
            <w:r>
              <w:t>31.9%</w:t>
            </w:r>
          </w:p>
        </w:tc>
      </w:tr>
      <w:tr>
        <w:tc>
          <w:tcPr>
            <w:tcW w:type="dxa" w:w="1440"/>
          </w:tcPr>
          <w:p>
            <w:r>
              <w:t>BNB</w:t>
            </w:r>
          </w:p>
        </w:tc>
        <w:tc>
          <w:tcPr>
            <w:tcW w:type="dxa" w:w="1440"/>
          </w:tcPr>
          <w:p>
            <w:r>
              <w:t>+67.4%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19.1%</w:t>
            </w:r>
          </w:p>
        </w:tc>
      </w:tr>
      <w:tr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+56.9%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2.79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18.4%</w:t>
            </w:r>
          </w:p>
        </w:tc>
      </w:tr>
      <w:tr>
        <w:tc>
          <w:tcPr>
            <w:tcW w:type="dxa" w:w="1440"/>
          </w:tcPr>
          <w:p>
            <w:r>
              <w:t>ETH</w:t>
            </w:r>
          </w:p>
        </w:tc>
        <w:tc>
          <w:tcPr>
            <w:tcW w:type="dxa" w:w="1440"/>
          </w:tcPr>
          <w:p>
            <w:r>
              <w:t>+54.6%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1.62</w:t>
            </w:r>
          </w:p>
        </w:tc>
        <w:tc>
          <w:tcPr>
            <w:tcW w:type="dxa" w:w="1440"/>
          </w:tcPr>
          <w:p>
            <w:r>
              <w:t>42.9%</w:t>
            </w:r>
          </w:p>
        </w:tc>
        <w:tc>
          <w:tcPr>
            <w:tcW w:type="dxa" w:w="1440"/>
          </w:tcPr>
          <w:p>
            <w:r>
              <w:t>52.7%</w:t>
            </w:r>
          </w:p>
        </w:tc>
      </w:tr>
      <w:tr>
        <w:tc>
          <w:tcPr>
            <w:tcW w:type="dxa" w:w="1440"/>
          </w:tcPr>
          <w:p>
            <w:r>
              <w:t>LINK</w:t>
            </w:r>
          </w:p>
        </w:tc>
        <w:tc>
          <w:tcPr>
            <w:tcW w:type="dxa" w:w="1440"/>
          </w:tcPr>
          <w:p>
            <w:r>
              <w:t>+35.1%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1.57</w:t>
            </w:r>
          </w:p>
        </w:tc>
        <w:tc>
          <w:tcPr>
            <w:tcW w:type="dxa" w:w="1440"/>
          </w:tcPr>
          <w:p>
            <w:r>
              <w:t>60.0%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</w:tr>
      <w:tr>
        <w:tc>
          <w:tcPr>
            <w:tcW w:type="dxa" w:w="1440"/>
          </w:tcPr>
          <w:p>
            <w:r>
              <w:t>XRP</w:t>
            </w:r>
          </w:p>
        </w:tc>
        <w:tc>
          <w:tcPr>
            <w:tcW w:type="dxa" w:w="1440"/>
          </w:tcPr>
          <w:p>
            <w:r>
              <w:t>+31.7%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1.78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</w:tr>
    </w:tbl>
    <w:p/>
    <w:p>
      <w:pPr>
        <w:pStyle w:val="Heading2"/>
      </w:pPr>
      <w:r>
        <w:t>Убыточные инструменты (исключены из портфеля)</w:t>
      </w:r>
    </w:p>
    <w:p>
      <w:pPr>
        <w:pStyle w:val="ListBullet"/>
      </w:pPr>
      <w:r>
        <w:t>SUI: -5.7%</w:t>
      </w:r>
    </w:p>
    <w:p>
      <w:pPr>
        <w:pStyle w:val="ListBullet"/>
      </w:pPr>
      <w:r>
        <w:t>BTC: -15.8%</w:t>
      </w:r>
    </w:p>
    <w:p>
      <w:pPr>
        <w:pStyle w:val="ListBullet"/>
      </w:pPr>
      <w:r>
        <w:t>TRX: -20.4%</w:t>
      </w:r>
    </w:p>
    <w:p>
      <w:pPr>
        <w:pStyle w:val="ListBullet"/>
      </w:pPr>
      <w:r>
        <w:t>LTC: -26.5%</w:t>
      </w:r>
    </w:p>
    <w:p>
      <w:pPr>
        <w:pStyle w:val="ListBullet"/>
      </w:pPr>
      <w:r>
        <w:t>XLM: -37.6%</w:t>
      </w:r>
    </w:p>
    <w:p>
      <w:pPr>
        <w:pStyle w:val="ListBullet"/>
      </w:pPr>
      <w:r>
        <w:t>DOGE: -38.0%</w:t>
      </w:r>
    </w:p>
    <w:p>
      <w:pPr>
        <w:pStyle w:val="ListBullet"/>
      </w:pPr>
      <w:r>
        <w:t>FIL: -83.6%</w:t>
      </w:r>
    </w:p>
    <w:p>
      <w:pPr>
        <w:pStyle w:val="ListBullet"/>
      </w:pPr>
      <w:r>
        <w:t>AVAX: -95.5%</w:t>
      </w:r>
    </w:p>
    <w:p>
      <w:pPr>
        <w:pStyle w:val="ListBullet"/>
      </w:pPr>
      <w:r>
        <w:t>UNI: -97.7%</w:t>
      </w:r>
    </w:p>
    <w:p>
      <w:pPr>
        <w:pStyle w:val="ListBullet"/>
      </w:pPr>
      <w:r>
        <w:t>NEAR: -120.7%</w:t>
      </w:r>
    </w:p>
    <w:p>
      <w:pPr>
        <w:pStyle w:val="ListBullet"/>
      </w:pPr>
      <w:r>
        <w:t>DOT: -147.1%</w:t>
      </w:r>
    </w:p>
    <w:p>
      <w:pPr>
        <w:pStyle w:val="ListBullet"/>
      </w:pPr>
      <w:r>
        <w:t>AAVE: -204.9%</w:t>
      </w:r>
    </w:p>
    <w:p/>
    <w:p>
      <w:pPr>
        <w:pStyle w:val="Heading1"/>
      </w:pPr>
      <w:r>
        <w:t>5. Технические подробности</w:t>
      </w:r>
    </w:p>
    <w:p>
      <w:pPr>
        <w:pStyle w:val="Heading2"/>
      </w:pPr>
      <w:r>
        <w:t>Файлы проекта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tmp/sksred-v4-build/SkSred_v4.cs</w:t>
            </w:r>
          </w:p>
        </w:tc>
        <w:tc>
          <w:tcPr>
            <w:tcW w:type="dxa" w:w="4320"/>
          </w:tcPr>
          <w:p>
            <w:r>
              <w:t>Исходный код стратегии v5 (182 строки)</w:t>
            </w:r>
          </w:p>
        </w:tc>
      </w:tr>
      <w:tr>
        <w:tc>
          <w:tcPr>
            <w:tcW w:type="dxa" w:w="4320"/>
          </w:tcPr>
          <w:p>
            <w:r>
              <w:t>tmp/sksred-v4-build/SkSred_v4.csproj</w:t>
            </w:r>
          </w:p>
        </w:tc>
        <w:tc>
          <w:tcPr>
            <w:tcW w:type="dxa" w:w="4320"/>
          </w:tcPr>
          <w:p>
            <w:r>
              <w:t>Проект сборки (net10.0, 4 TSLab DLL)</w:t>
            </w:r>
          </w:p>
        </w:tc>
      </w:tr>
      <w:tr>
        <w:tc>
          <w:tcPr>
            <w:tcW w:type="dxa" w:w="4320"/>
          </w:tcPr>
          <w:p>
            <w:r>
              <w:t>tmp/sksred-v4-build/bin/Release/net10.0/SkSred_v4.dll</w:t>
            </w:r>
          </w:p>
        </w:tc>
        <w:tc>
          <w:tcPr>
            <w:tcW w:type="dxa" w:w="4320"/>
          </w:tcPr>
          <w:p>
            <w:r>
              <w:t>Скомпилированная DLL</w:t>
            </w:r>
          </w:p>
        </w:tc>
      </w:tr>
      <w:tr>
        <w:tc>
          <w:tcPr>
            <w:tcW w:type="dxa" w:w="4320"/>
          </w:tcPr>
          <w:p>
            <w:r>
              <w:t>tmp/backtest_csv.py</w:t>
            </w:r>
          </w:p>
        </w:tc>
        <w:tc>
          <w:tcPr>
            <w:tcW w:type="dxa" w:w="4320"/>
          </w:tcPr>
          <w:p>
            <w:r>
              <w:t>Python-бэктестер на CSV</w:t>
            </w:r>
          </w:p>
        </w:tc>
      </w:tr>
      <w:tr>
        <w:tc>
          <w:tcPr>
            <w:tcW w:type="dxa" w:w="4320"/>
          </w:tcPr>
          <w:p>
            <w:r>
              <w:t>tmp/backtest_filtered.py</w:t>
            </w:r>
          </w:p>
        </w:tc>
        <w:tc>
          <w:tcPr>
            <w:tcW w:type="dxa" w:w="4320"/>
          </w:tcPr>
          <w:p>
            <w:r>
              <w:t>Бэктест отфильтрованного портфеля</w:t>
            </w:r>
          </w:p>
        </w:tc>
      </w:tr>
      <w:tr>
        <w:tc>
          <w:tcPr>
            <w:tcW w:type="dxa" w:w="4320"/>
          </w:tcPr>
          <w:p>
            <w:r>
              <w:t>tmp/backtest_v5_filtered.json</w:t>
            </w:r>
          </w:p>
        </w:tc>
        <w:tc>
          <w:tcPr>
            <w:tcW w:type="dxa" w:w="4320"/>
          </w:tcPr>
          <w:p>
            <w:r>
              <w:t>Результаты (7 пар, +55.06%)</w:t>
            </w:r>
          </w:p>
        </w:tc>
      </w:tr>
    </w:tbl>
    <w:p/>
    <w:p>
      <w:pPr>
        <w:pStyle w:val="Heading2"/>
      </w:pPr>
      <w:r>
        <w:t>TSLab 3.0 API — ключевые отличия от 2.x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Механизм</w:t>
            </w:r>
          </w:p>
        </w:tc>
        <w:tc>
          <w:tcPr>
            <w:tcW w:type="dxa" w:w="2880"/>
          </w:tcPr>
          <w:p>
            <w:r>
              <w:t>TSLab 2.x</w:t>
            </w:r>
          </w:p>
        </w:tc>
        <w:tc>
          <w:tcPr>
            <w:tcW w:type="dxa" w:w="2880"/>
          </w:tcPr>
          <w:p>
            <w:r>
              <w:t>TSLab 3.0</w:t>
            </w:r>
          </w:p>
        </w:tc>
      </w:tr>
      <w:tr>
        <w:tc>
          <w:tcPr>
            <w:tcW w:type="dxa" w:w="2880"/>
          </w:tcPr>
          <w:p>
            <w:r>
              <w:t>Интерфейс хэндлера</w:t>
            </w:r>
          </w:p>
        </w:tc>
        <w:tc>
          <w:tcPr>
            <w:tcW w:type="dxa" w:w="2880"/>
          </w:tcPr>
          <w:p>
            <w:r>
              <w:t>IExternalScript</w:t>
            </w:r>
          </w:p>
        </w:tc>
        <w:tc>
          <w:tcPr>
            <w:tcW w:type="dxa" w:w="2880"/>
          </w:tcPr>
          <w:p>
            <w:r>
              <w:t>IStreamHandler + IContextUses</w:t>
            </w:r>
          </w:p>
        </w:tc>
      </w:tr>
      <w:tr>
        <w:tc>
          <w:tcPr>
            <w:tcW w:type="dxa" w:w="2880"/>
          </w:tcPr>
          <w:p>
            <w:r>
              <w:t>Доступ к ценам</w:t>
            </w:r>
          </w:p>
        </w:tc>
        <w:tc>
          <w:tcPr>
            <w:tcW w:type="dxa" w:w="2880"/>
          </w:tcPr>
          <w:p>
            <w:r>
              <w:t>ISecurity.Close/High/Low</w:t>
            </w:r>
          </w:p>
        </w:tc>
        <w:tc>
          <w:tcPr>
            <w:tcW w:type="dxa" w:w="2880"/>
          </w:tcPr>
          <w:p>
            <w:r>
              <w:t>ISecurity.ClosePrices/HighPrices/LowPrices</w:t>
            </w:r>
          </w:p>
        </w:tc>
      </w:tr>
      <w:tr>
        <w:tc>
          <w:tcPr>
            <w:tcW w:type="dxa" w:w="2880"/>
          </w:tcPr>
          <w:p>
            <w:r>
              <w:t>Доступ к позициям</w:t>
            </w:r>
          </w:p>
        </w:tc>
        <w:tc>
          <w:tcPr>
            <w:tcW w:type="dxa" w:w="2880"/>
          </w:tcPr>
          <w:p>
            <w:r>
              <w:t>ISecurity.Position</w:t>
            </w:r>
          </w:p>
        </w:tc>
        <w:tc>
          <w:tcPr>
            <w:tcW w:type="dxa" w:w="2880"/>
          </w:tcPr>
          <w:p>
            <w:r>
              <w:t>ISecurity.Positions</w:t>
            </w:r>
          </w:p>
        </w:tc>
      </w:tr>
      <w:tr>
        <w:tc>
          <w:tcPr>
            <w:tcW w:type="dxa" w:w="2880"/>
          </w:tcPr>
          <w:p>
            <w:r>
              <w:t>Доступ к инструментам</w:t>
            </w:r>
          </w:p>
        </w:tc>
        <w:tc>
          <w:tcPr>
            <w:tcW w:type="dxa" w:w="2880"/>
          </w:tcPr>
          <w:p>
            <w:r>
              <w:t>ctx.Securities</w:t>
            </w:r>
          </w:p>
        </w:tc>
        <w:tc>
          <w:tcPr>
            <w:tcW w:type="dxa" w:w="2880"/>
          </w:tcPr>
          <w:p>
            <w:r>
              <w:t>ctx.Runtime.Securities</w:t>
            </w:r>
          </w:p>
        </w:tc>
      </w:tr>
      <w:tr>
        <w:tc>
          <w:tcPr>
            <w:tcW w:type="dxa" w:w="2880"/>
          </w:tcPr>
          <w:p>
            <w:r>
              <w:t>Блок в графе</w:t>
            </w:r>
          </w:p>
        </w:tc>
        <w:tc>
          <w:tcPr>
            <w:tcW w:type="dxa" w:w="2880"/>
          </w:tcPr>
          <w:p>
            <w:r>
              <w:t>ExternalScriptItem</w:t>
            </w:r>
          </w:p>
        </w:tc>
        <w:tc>
          <w:tcPr>
            <w:tcW w:type="dxa" w:w="2880"/>
          </w:tcPr>
          <w:p>
            <w:r>
              <w:t>ConverterItem</w:t>
            </w:r>
          </w:p>
        </w:tc>
      </w:tr>
    </w:tbl>
    <w:p/>
    <w:p>
      <w:pPr>
        <w:pStyle w:val="Heading1"/>
      </w:pPr>
      <w:r>
        <w:t>6. Выводы и рекомендации</w:t>
      </w:r>
    </w:p>
    <w:p>
      <w:pPr>
        <w:pStyle w:val="Heading2"/>
      </w:pPr>
      <w:r>
        <w:t>Что сработало</w:t>
      </w:r>
    </w:p>
    <w:p>
      <w:pPr>
        <w:pStyle w:val="ListBullet"/>
      </w:pPr>
      <w:r>
        <w:t>SMA(5/50) кроссовер — значительно лучше SMA(5/20), снижает количество сделок с 400+ до 5-8</w:t>
      </w:r>
    </w:p>
    <w:p>
      <w:pPr>
        <w:pStyle w:val="ListBullet"/>
      </w:pPr>
      <w:r>
        <w:t>ATR фильтр(0.8) — эффективно отсеивает входы в периоды низкой волатильности</w:t>
      </w:r>
    </w:p>
    <w:p>
      <w:pPr>
        <w:pStyle w:val="ListBullet"/>
      </w:pPr>
      <w:r>
        <w:t>Фильтрация инструментов по PF&gt;1.5 и MaxDD&lt;55% — ключевой прием, превращает убыточный портфель в прибыльный</w:t>
      </w:r>
    </w:p>
    <w:p>
      <w:pPr>
        <w:pStyle w:val="ListBullet"/>
      </w:pPr>
      <w:r>
        <w:t>ADA — лучший risk/reward: PF=2.79, MaxDD=18.4%</w:t>
      </w:r>
    </w:p>
    <w:p>
      <w:pPr>
        <w:pStyle w:val="Heading2"/>
      </w:pPr>
      <w:r>
        <w:t>Риски</w:t>
      </w:r>
    </w:p>
    <w:p>
      <w:pPr>
        <w:pStyle w:val="ListBullet"/>
      </w:pPr>
      <w:r>
        <w:t>Два месяца истории — недостаточно для уверенных выводов</w:t>
      </w:r>
    </w:p>
    <w:p>
      <w:pPr>
        <w:pStyle w:val="ListBullet"/>
      </w:pPr>
      <w:r>
        <w:t>Максимальная просадка ETH=52.7% — требует снижения размера позиции</w:t>
      </w:r>
    </w:p>
    <w:p>
      <w:pPr>
        <w:pStyle w:val="ListBullet"/>
      </w:pPr>
      <w:r>
        <w:t>Стратегия только long — не защищает от медвежьего рынка</w:t>
      </w:r>
    </w:p>
    <w:p>
      <w:pPr>
        <w:pStyle w:val="ListBullet"/>
      </w:pPr>
      <w:r>
        <w:t>TSLab API нестабилен при mass-build (таймауты, перепады памяти)</w:t>
      </w:r>
    </w:p>
    <w:p>
      <w:pPr>
        <w:pStyle w:val="Heading2"/>
      </w:pPr>
      <w:r>
        <w:t>Следующие шаги</w:t>
      </w:r>
    </w:p>
    <w:p>
      <w:pPr>
        <w:pStyle w:val="ListNumber"/>
      </w:pPr>
      <w:r>
        <w:t>Тестирование на более длительном периоде (6-12 месяцев)</w:t>
      </w:r>
    </w:p>
    <w:p>
      <w:pPr>
        <w:pStyle w:val="ListNumber"/>
      </w:pPr>
      <w:r>
        <w:t>Добавление short-логики для медвежьих рынков</w:t>
      </w:r>
    </w:p>
    <w:p>
      <w:pPr>
        <w:pStyle w:val="ListNumber"/>
      </w:pPr>
      <w:r>
        <w:t>Оптимизация параметров через генетический алгоритм</w:t>
      </w:r>
    </w:p>
    <w:p>
      <w:pPr>
        <w:pStyle w:val="ListNumber"/>
      </w:pPr>
      <w:r>
        <w:t>Мониторинг live-агентов ADA и BNB первую неделю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