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по проекту TrendBot v1</w:t>
      </w:r>
    </w:p>
    <w:p>
      <w:pPr>
        <w:jc w:val="center"/>
      </w:pPr>
      <w:r>
        <w:t>Дата: 05.07.2026 03:04</w:t>
      </w:r>
    </w:p>
    <w:p/>
    <w:p>
      <w:pPr>
        <w:pStyle w:val="Heading1"/>
      </w:pPr>
      <w:r>
        <w:t>1. Обзор проекта</w:t>
      </w:r>
    </w:p>
    <w:p>
      <w:r>
        <w:t>TrendBot v1 — автоматическая торговая стратегия на основе пересечения скользящих средних (EMA) для торговли криптовалютными фьючерсами.</w:t>
      </w:r>
    </w:p>
    <w:p/>
    <w:p>
      <w:pPr>
        <w:pStyle w:val="Heading2"/>
      </w:pPr>
      <w:r>
        <w:t>Стратегия</w:t>
      </w:r>
    </w:p>
    <w:p>
      <w:r>
        <w:t>• Вход (Long): EMA60 пересекает EMA150 снизу вверх</w:t>
      </w:r>
    </w:p>
    <w:p>
      <w:r>
        <w:t>• Выход: EMA60 пересекает EMA150 сверху вниз</w:t>
      </w:r>
    </w:p>
    <w:p>
      <w:r>
        <w:t>• Интервал: H1 (1 час)</w:t>
      </w:r>
    </w:p>
    <w:p>
      <w:r>
        <w:t>• Реинвестирование: 10% прибыли (Shares=1.1)</w:t>
      </w:r>
    </w:p>
    <w:p/>
    <w:p>
      <w:pPr>
        <w:pStyle w:val="Heading2"/>
      </w:pPr>
      <w:r>
        <w:t>Параметры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EMA_FAST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t>EMA_SLOW</w:t>
            </w:r>
          </w:p>
        </w:tc>
        <w:tc>
          <w:tcPr>
            <w:tcW w:type="dxa" w:w="4320"/>
          </w:tcPr>
          <w:p>
            <w:r>
              <w:t>150</w:t>
            </w:r>
          </w:p>
        </w:tc>
      </w:tr>
      <w:tr>
        <w:tc>
          <w:tcPr>
            <w:tcW w:type="dxa" w:w="4320"/>
          </w:tcPr>
          <w:p>
            <w:r>
              <w:t>Депозит</w:t>
            </w:r>
          </w:p>
        </w:tc>
        <w:tc>
          <w:tcPr>
            <w:tcW w:type="dxa" w:w="4320"/>
          </w:tcPr>
          <w:p>
            <w:r>
              <w:t>30 USDT</w:t>
            </w:r>
          </w:p>
        </w:tc>
      </w:tr>
      <w:tr>
        <w:tc>
          <w:tcPr>
            <w:tcW w:type="dxa" w:w="4320"/>
          </w:tcPr>
          <w:p>
            <w:r>
              <w:t>Плечо</w:t>
            </w:r>
          </w:p>
        </w:tc>
        <w:tc>
          <w:tcPr>
            <w:tcW w:type="dxa" w:w="4320"/>
          </w:tcPr>
          <w:p>
            <w:r>
              <w:t>50x</w:t>
            </w:r>
          </w:p>
        </w:tc>
      </w:tr>
    </w:tbl>
    <w:p/>
    <w:p>
      <w:pPr>
        <w:pStyle w:val="Heading1"/>
      </w:pPr>
      <w:r>
        <w:t>2. Результаты бэктеста</w:t>
      </w:r>
    </w:p>
    <w:p>
      <w:pPr>
        <w:pStyle w:val="Heading2"/>
      </w:pPr>
      <w:r>
        <w:t>Все 20 пар (15x плечо)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Пара</w:t>
            </w:r>
          </w:p>
        </w:tc>
        <w:tc>
          <w:tcPr>
            <w:tcW w:type="dxa" w:w="1440"/>
          </w:tcPr>
          <w:p>
            <w:r>
              <w:t>PnL%</w:t>
            </w:r>
          </w:p>
        </w:tc>
        <w:tc>
          <w:tcPr>
            <w:tcW w:type="dxa" w:w="1440"/>
          </w:tcPr>
          <w:p>
            <w:r>
              <w:t>Сделок</w:t>
            </w:r>
          </w:p>
        </w:tc>
        <w:tc>
          <w:tcPr>
            <w:tcW w:type="dxa" w:w="1440"/>
          </w:tcPr>
          <w:p>
            <w:r>
              <w:t>PF</w:t>
            </w:r>
          </w:p>
        </w:tc>
        <w:tc>
          <w:tcPr>
            <w:tcW w:type="dxa" w:w="1440"/>
          </w:tcPr>
          <w:p>
            <w:r>
              <w:t>WinRate</w:t>
            </w:r>
          </w:p>
        </w:tc>
        <w:tc>
          <w:tcPr>
            <w:tcW w:type="dxa" w:w="1440"/>
          </w:tcPr>
          <w:p>
            <w:r>
              <w:t>MaxDD</w:t>
            </w:r>
          </w:p>
        </w:tc>
      </w:tr>
      <w:tr>
        <w:tc>
          <w:tcPr>
            <w:tcW w:type="dxa" w:w="1440"/>
          </w:tcPr>
          <w:p>
            <w:r>
              <w:t>NEAR</w:t>
            </w:r>
          </w:p>
        </w:tc>
        <w:tc>
          <w:tcPr>
            <w:tcW w:type="dxa" w:w="1440"/>
          </w:tcPr>
          <w:p>
            <w:r>
              <w:t>+574.5%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2.50</w:t>
            </w:r>
          </w:p>
        </w:tc>
        <w:tc>
          <w:tcPr>
            <w:tcW w:type="dxa" w:w="1440"/>
          </w:tcPr>
          <w:p>
            <w:r>
              <w:t>60%</w:t>
            </w:r>
          </w:p>
        </w:tc>
        <w:tc>
          <w:tcPr>
            <w:tcW w:type="dxa" w:w="1440"/>
          </w:tcPr>
          <w:p>
            <w:r>
              <w:t>39.8%</w:t>
            </w:r>
          </w:p>
        </w:tc>
      </w:tr>
      <w:tr>
        <w:tc>
          <w:tcPr>
            <w:tcW w:type="dxa" w:w="1440"/>
          </w:tcPr>
          <w:p>
            <w:r>
              <w:t>XLM</w:t>
            </w:r>
          </w:p>
        </w:tc>
        <w:tc>
          <w:tcPr>
            <w:tcW w:type="dxa" w:w="1440"/>
          </w:tcPr>
          <w:p>
            <w:r>
              <w:t>+482.3%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5.04</w:t>
            </w:r>
          </w:p>
        </w:tc>
        <w:tc>
          <w:tcPr>
            <w:tcW w:type="dxa" w:w="1440"/>
          </w:tcPr>
          <w:p>
            <w:r>
              <w:t>75%</w:t>
            </w:r>
          </w:p>
        </w:tc>
        <w:tc>
          <w:tcPr>
            <w:tcW w:type="dxa" w:w="1440"/>
          </w:tcPr>
          <w:p>
            <w:r>
              <w:t>17.9%</w:t>
            </w:r>
          </w:p>
        </w:tc>
      </w:tr>
      <w:tr>
        <w:tc>
          <w:tcPr>
            <w:tcW w:type="dxa" w:w="1440"/>
          </w:tcPr>
          <w:p>
            <w:r>
              <w:t>SOL</w:t>
            </w:r>
          </w:p>
        </w:tc>
        <w:tc>
          <w:tcPr>
            <w:tcW w:type="dxa" w:w="1440"/>
          </w:tcPr>
          <w:p>
            <w:r>
              <w:t>+266.1%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5.75</w:t>
            </w:r>
          </w:p>
        </w:tc>
        <w:tc>
          <w:tcPr>
            <w:tcW w:type="dxa" w:w="1440"/>
          </w:tcPr>
          <w:p>
            <w:r>
              <w:t>50%</w:t>
            </w:r>
          </w:p>
        </w:tc>
        <w:tc>
          <w:tcPr>
            <w:tcW w:type="dxa" w:w="1440"/>
          </w:tcPr>
          <w:p>
            <w:r>
              <w:t>26.9%</w:t>
            </w:r>
          </w:p>
        </w:tc>
      </w:tr>
      <w:tr>
        <w:tc>
          <w:tcPr>
            <w:tcW w:type="dxa" w:w="1440"/>
          </w:tcPr>
          <w:p>
            <w:r>
              <w:t>AAVE</w:t>
            </w:r>
          </w:p>
        </w:tc>
        <w:tc>
          <w:tcPr>
            <w:tcW w:type="dxa" w:w="1440"/>
          </w:tcPr>
          <w:p>
            <w:r>
              <w:t>+214.2%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4.19</w:t>
            </w:r>
          </w:p>
        </w:tc>
        <w:tc>
          <w:tcPr>
            <w:tcW w:type="dxa" w:w="1440"/>
          </w:tcPr>
          <w:p>
            <w:r>
              <w:t>40%</w:t>
            </w:r>
          </w:p>
        </w:tc>
        <w:tc>
          <w:tcPr>
            <w:tcW w:type="dxa" w:w="1440"/>
          </w:tcPr>
          <w:p>
            <w:r>
              <w:t>48.3%</w:t>
            </w:r>
          </w:p>
        </w:tc>
      </w:tr>
      <w:tr>
        <w:tc>
          <w:tcPr>
            <w:tcW w:type="dxa" w:w="1440"/>
          </w:tcPr>
          <w:p>
            <w:r>
              <w:t>LINK</w:t>
            </w:r>
          </w:p>
        </w:tc>
        <w:tc>
          <w:tcPr>
            <w:tcW w:type="dxa" w:w="1440"/>
          </w:tcPr>
          <w:p>
            <w:r>
              <w:t>+144.9%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52.46</w:t>
            </w:r>
          </w:p>
        </w:tc>
        <w:tc>
          <w:tcPr>
            <w:tcW w:type="dxa" w:w="1440"/>
          </w:tcPr>
          <w:p>
            <w:r>
              <w:t>67%</w:t>
            </w:r>
          </w:p>
        </w:tc>
        <w:tc>
          <w:tcPr>
            <w:tcW w:type="dxa" w:w="1440"/>
          </w:tcPr>
          <w:p>
            <w:r>
              <w:t>1.4%</w:t>
            </w:r>
          </w:p>
        </w:tc>
      </w:tr>
      <w:tr>
        <w:tc>
          <w:tcPr>
            <w:tcW w:type="dxa" w:w="1440"/>
          </w:tcPr>
          <w:p>
            <w:r>
              <w:t>SUI</w:t>
            </w:r>
          </w:p>
        </w:tc>
        <w:tc>
          <w:tcPr>
            <w:tcW w:type="dxa" w:w="1440"/>
          </w:tcPr>
          <w:p>
            <w:r>
              <w:t>+138.7%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1.57</w:t>
            </w:r>
          </w:p>
        </w:tc>
        <w:tc>
          <w:tcPr>
            <w:tcW w:type="dxa" w:w="1440"/>
          </w:tcPr>
          <w:p>
            <w:r>
              <w:t>40%</w:t>
            </w:r>
          </w:p>
        </w:tc>
        <w:tc>
          <w:tcPr>
            <w:tcW w:type="dxa" w:w="1440"/>
          </w:tcPr>
          <w:p>
            <w:r>
              <w:t>69.4%</w:t>
            </w:r>
          </w:p>
        </w:tc>
      </w:tr>
      <w:tr>
        <w:tc>
          <w:tcPr>
            <w:tcW w:type="dxa" w:w="1440"/>
          </w:tcPr>
          <w:p>
            <w:r>
              <w:t>ADA</w:t>
            </w:r>
          </w:p>
        </w:tc>
        <w:tc>
          <w:tcPr>
            <w:tcW w:type="dxa" w:w="1440"/>
          </w:tcPr>
          <w:p>
            <w:r>
              <w:t>+135.2%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1.81</w:t>
            </w:r>
          </w:p>
        </w:tc>
        <w:tc>
          <w:tcPr>
            <w:tcW w:type="dxa" w:w="1440"/>
          </w:tcPr>
          <w:p>
            <w:r>
              <w:t>50%</w:t>
            </w:r>
          </w:p>
        </w:tc>
        <w:tc>
          <w:tcPr>
            <w:tcW w:type="dxa" w:w="1440"/>
          </w:tcPr>
          <w:p>
            <w:r>
              <w:t>103.1%</w:t>
            </w:r>
          </w:p>
        </w:tc>
      </w:tr>
      <w:tr>
        <w:tc>
          <w:tcPr>
            <w:tcW w:type="dxa" w:w="1440"/>
          </w:tcPr>
          <w:p>
            <w:r>
              <w:t>BCH</w:t>
            </w:r>
          </w:p>
        </w:tc>
        <w:tc>
          <w:tcPr>
            <w:tcW w:type="dxa" w:w="1440"/>
          </w:tcPr>
          <w:p>
            <w:r>
              <w:t>+69.6%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1.45</w:t>
            </w:r>
          </w:p>
        </w:tc>
        <w:tc>
          <w:tcPr>
            <w:tcW w:type="dxa" w:w="1440"/>
          </w:tcPr>
          <w:p>
            <w:r>
              <w:t>50%</w:t>
            </w:r>
          </w:p>
        </w:tc>
        <w:tc>
          <w:tcPr>
            <w:tcW w:type="dxa" w:w="1440"/>
          </w:tcPr>
          <w:p>
            <w:r>
              <w:t>140.1%</w:t>
            </w:r>
          </w:p>
        </w:tc>
      </w:tr>
      <w:tr>
        <w:tc>
          <w:tcPr>
            <w:tcW w:type="dxa" w:w="1440"/>
          </w:tcPr>
          <w:p>
            <w:r>
              <w:t>TRX</w:t>
            </w:r>
          </w:p>
        </w:tc>
        <w:tc>
          <w:tcPr>
            <w:tcW w:type="dxa" w:w="1440"/>
          </w:tcPr>
          <w:p>
            <w:r>
              <w:t>+16.2%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2.91</w:t>
            </w:r>
          </w:p>
        </w:tc>
        <w:tc>
          <w:tcPr>
            <w:tcW w:type="dxa" w:w="1440"/>
          </w:tcPr>
          <w:p>
            <w:r>
              <w:t>67%</w:t>
            </w:r>
          </w:p>
        </w:tc>
        <w:tc>
          <w:tcPr>
            <w:tcW w:type="dxa" w:w="1440"/>
          </w:tcPr>
          <w:p>
            <w:r>
              <w:t>8.5%</w:t>
            </w:r>
          </w:p>
        </w:tc>
      </w:tr>
      <w:tr>
        <w:tc>
          <w:tcPr>
            <w:tcW w:type="dxa" w:w="1440"/>
          </w:tcPr>
          <w:p>
            <w:r>
              <w:t>UNI</w:t>
            </w:r>
          </w:p>
        </w:tc>
        <w:tc>
          <w:tcPr>
            <w:tcW w:type="dxa" w:w="1440"/>
          </w:tcPr>
          <w:p>
            <w:r>
              <w:t>+2.7%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1.01</w:t>
            </w:r>
          </w:p>
        </w:tc>
        <w:tc>
          <w:tcPr>
            <w:tcW w:type="dxa" w:w="1440"/>
          </w:tcPr>
          <w:p>
            <w:r>
              <w:t>33%</w:t>
            </w:r>
          </w:p>
        </w:tc>
        <w:tc>
          <w:tcPr>
            <w:tcW w:type="dxa" w:w="1440"/>
          </w:tcPr>
          <w:p>
            <w:r>
              <w:t>97.5%</w:t>
            </w:r>
          </w:p>
        </w:tc>
      </w:tr>
    </w:tbl>
    <w:p/>
    <w:p>
      <w:pPr>
        <w:pStyle w:val="Heading2"/>
      </w:pPr>
      <w:r>
        <w:t>Лучшие пары (50x плечо)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Пара</w:t>
            </w:r>
          </w:p>
        </w:tc>
        <w:tc>
          <w:tcPr>
            <w:tcW w:type="dxa" w:w="1440"/>
          </w:tcPr>
          <w:p>
            <w:r>
              <w:t>PnL%</w:t>
            </w:r>
          </w:p>
        </w:tc>
        <w:tc>
          <w:tcPr>
            <w:tcW w:type="dxa" w:w="1440"/>
          </w:tcPr>
          <w:p>
            <w:r>
              <w:t>Сделок</w:t>
            </w:r>
          </w:p>
        </w:tc>
        <w:tc>
          <w:tcPr>
            <w:tcW w:type="dxa" w:w="1440"/>
          </w:tcPr>
          <w:p>
            <w:r>
              <w:t>PF</w:t>
            </w:r>
          </w:p>
        </w:tc>
        <w:tc>
          <w:tcPr>
            <w:tcW w:type="dxa" w:w="1440"/>
          </w:tcPr>
          <w:p>
            <w:r>
              <w:t>WinRate</w:t>
            </w:r>
          </w:p>
        </w:tc>
        <w:tc>
          <w:tcPr>
            <w:tcW w:type="dxa" w:w="1440"/>
          </w:tcPr>
          <w:p>
            <w:r>
              <w:t>MaxDD</w:t>
            </w:r>
          </w:p>
        </w:tc>
      </w:tr>
      <w:tr>
        <w:tc>
          <w:tcPr>
            <w:tcW w:type="dxa" w:w="1440"/>
          </w:tcPr>
          <w:p>
            <w:r>
              <w:t>NEAR</w:t>
            </w:r>
          </w:p>
        </w:tc>
        <w:tc>
          <w:tcPr>
            <w:tcW w:type="dxa" w:w="1440"/>
          </w:tcPr>
          <w:p>
            <w:r>
              <w:t>+1915.0%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2.50</w:t>
            </w:r>
          </w:p>
        </w:tc>
        <w:tc>
          <w:tcPr>
            <w:tcW w:type="dxa" w:w="1440"/>
          </w:tcPr>
          <w:p>
            <w:r>
              <w:t>60%</w:t>
            </w:r>
          </w:p>
        </w:tc>
        <w:tc>
          <w:tcPr>
            <w:tcW w:type="dxa" w:w="1440"/>
          </w:tcPr>
          <w:p>
            <w:r>
              <w:t>43.0%</w:t>
            </w:r>
          </w:p>
        </w:tc>
      </w:tr>
      <w:tr>
        <w:tc>
          <w:tcPr>
            <w:tcW w:type="dxa" w:w="1440"/>
          </w:tcPr>
          <w:p>
            <w:r>
              <w:t>XLM</w:t>
            </w:r>
          </w:p>
        </w:tc>
        <w:tc>
          <w:tcPr>
            <w:tcW w:type="dxa" w:w="1440"/>
          </w:tcPr>
          <w:p>
            <w:r>
              <w:t>+1607.6%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5.04</w:t>
            </w:r>
          </w:p>
        </w:tc>
        <w:tc>
          <w:tcPr>
            <w:tcW w:type="dxa" w:w="1440"/>
          </w:tcPr>
          <w:p>
            <w:r>
              <w:t>75%</w:t>
            </w:r>
          </w:p>
        </w:tc>
        <w:tc>
          <w:tcPr>
            <w:tcW w:type="dxa" w:w="1440"/>
          </w:tcPr>
          <w:p>
            <w:r>
              <w:t>20.0%</w:t>
            </w:r>
          </w:p>
        </w:tc>
      </w:tr>
      <w:tr>
        <w:tc>
          <w:tcPr>
            <w:tcW w:type="dxa" w:w="1440"/>
          </w:tcPr>
          <w:p>
            <w:r>
              <w:t>SOL</w:t>
            </w:r>
          </w:p>
        </w:tc>
        <w:tc>
          <w:tcPr>
            <w:tcW w:type="dxa" w:w="1440"/>
          </w:tcPr>
          <w:p>
            <w:r>
              <w:t>+886.9%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5.75</w:t>
            </w:r>
          </w:p>
        </w:tc>
        <w:tc>
          <w:tcPr>
            <w:tcW w:type="dxa" w:w="1440"/>
          </w:tcPr>
          <w:p>
            <w:r>
              <w:t>50%</w:t>
            </w:r>
          </w:p>
        </w:tc>
        <w:tc>
          <w:tcPr>
            <w:tcW w:type="dxa" w:w="1440"/>
          </w:tcPr>
          <w:p>
            <w:r>
              <w:t>40.6%</w:t>
            </w:r>
          </w:p>
        </w:tc>
      </w:tr>
      <w:tr>
        <w:tc>
          <w:tcPr>
            <w:tcW w:type="dxa" w:w="1440"/>
          </w:tcPr>
          <w:p>
            <w:r>
              <w:t>AAVE</w:t>
            </w:r>
          </w:p>
        </w:tc>
        <w:tc>
          <w:tcPr>
            <w:tcW w:type="dxa" w:w="1440"/>
          </w:tcPr>
          <w:p>
            <w:r>
              <w:t>+714.1%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4.19</w:t>
            </w:r>
          </w:p>
        </w:tc>
        <w:tc>
          <w:tcPr>
            <w:tcW w:type="dxa" w:w="1440"/>
          </w:tcPr>
          <w:p>
            <w:r>
              <w:t>40%</w:t>
            </w:r>
          </w:p>
        </w:tc>
        <w:tc>
          <w:tcPr>
            <w:tcW w:type="dxa" w:w="1440"/>
          </w:tcPr>
          <w:p>
            <w:r>
              <w:t>160.9%</w:t>
            </w:r>
          </w:p>
        </w:tc>
      </w:tr>
      <w:tr>
        <w:tc>
          <w:tcPr>
            <w:tcW w:type="dxa" w:w="1440"/>
          </w:tcPr>
          <w:p>
            <w:r>
              <w:t>LINK</w:t>
            </w:r>
          </w:p>
        </w:tc>
        <w:tc>
          <w:tcPr>
            <w:tcW w:type="dxa" w:w="1440"/>
          </w:tcPr>
          <w:p>
            <w:r>
              <w:t>+483.0%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52.46</w:t>
            </w:r>
          </w:p>
        </w:tc>
        <w:tc>
          <w:tcPr>
            <w:tcW w:type="dxa" w:w="1440"/>
          </w:tcPr>
          <w:p>
            <w:r>
              <w:t>67%</w:t>
            </w:r>
          </w:p>
        </w:tc>
        <w:tc>
          <w:tcPr>
            <w:tcW w:type="dxa" w:w="1440"/>
          </w:tcPr>
          <w:p>
            <w:r>
              <w:t>2.1%</w:t>
            </w:r>
          </w:p>
        </w:tc>
      </w:tr>
      <w:tr>
        <w:tc>
          <w:tcPr>
            <w:tcW w:type="dxa" w:w="1440"/>
          </w:tcPr>
          <w:p>
            <w:r>
              <w:t>SUI</w:t>
            </w:r>
          </w:p>
        </w:tc>
        <w:tc>
          <w:tcPr>
            <w:tcW w:type="dxa" w:w="1440"/>
          </w:tcPr>
          <w:p>
            <w:r>
              <w:t>+462.3%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1.57</w:t>
            </w:r>
          </w:p>
        </w:tc>
        <w:tc>
          <w:tcPr>
            <w:tcW w:type="dxa" w:w="1440"/>
          </w:tcPr>
          <w:p>
            <w:r>
              <w:t>40%</w:t>
            </w:r>
          </w:p>
        </w:tc>
        <w:tc>
          <w:tcPr>
            <w:tcW w:type="dxa" w:w="1440"/>
          </w:tcPr>
          <w:p>
            <w:r>
              <w:t>86.9%</w:t>
            </w:r>
          </w:p>
        </w:tc>
      </w:tr>
      <w:tr>
        <w:tc>
          <w:tcPr>
            <w:tcW w:type="dxa" w:w="1440"/>
          </w:tcPr>
          <w:p>
            <w:r>
              <w:t>ADA</w:t>
            </w:r>
          </w:p>
        </w:tc>
        <w:tc>
          <w:tcPr>
            <w:tcW w:type="dxa" w:w="1440"/>
          </w:tcPr>
          <w:p>
            <w:r>
              <w:t>+450.8%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1.81</w:t>
            </w:r>
          </w:p>
        </w:tc>
        <w:tc>
          <w:tcPr>
            <w:tcW w:type="dxa" w:w="1440"/>
          </w:tcPr>
          <w:p>
            <w:r>
              <w:t>50%</w:t>
            </w:r>
          </w:p>
        </w:tc>
        <w:tc>
          <w:tcPr>
            <w:tcW w:type="dxa" w:w="1440"/>
          </w:tcPr>
          <w:p>
            <w:r>
              <w:t>181.9%</w:t>
            </w:r>
          </w:p>
        </w:tc>
      </w:tr>
      <w:tr>
        <w:tc>
          <w:tcPr>
            <w:tcW w:type="dxa" w:w="1440"/>
          </w:tcPr>
          <w:p>
            <w:r>
              <w:t>BCH</w:t>
            </w:r>
          </w:p>
        </w:tc>
        <w:tc>
          <w:tcPr>
            <w:tcW w:type="dxa" w:w="1440"/>
          </w:tcPr>
          <w:p>
            <w:r>
              <w:t>+232.0%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1.45</w:t>
            </w:r>
          </w:p>
        </w:tc>
        <w:tc>
          <w:tcPr>
            <w:tcW w:type="dxa" w:w="1440"/>
          </w:tcPr>
          <w:p>
            <w:r>
              <w:t>50%</w:t>
            </w:r>
          </w:p>
        </w:tc>
        <w:tc>
          <w:tcPr>
            <w:tcW w:type="dxa" w:w="1440"/>
          </w:tcPr>
          <w:p>
            <w:r>
              <w:t>380.4%</w:t>
            </w:r>
          </w:p>
        </w:tc>
      </w:tr>
      <w:tr>
        <w:tc>
          <w:tcPr>
            <w:tcW w:type="dxa" w:w="1440"/>
          </w:tcPr>
          <w:p>
            <w:r>
              <w:t>TRX</w:t>
            </w:r>
          </w:p>
        </w:tc>
        <w:tc>
          <w:tcPr>
            <w:tcW w:type="dxa" w:w="1440"/>
          </w:tcPr>
          <w:p>
            <w:r>
              <w:t>+54.2%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2.91</w:t>
            </w:r>
          </w:p>
        </w:tc>
        <w:tc>
          <w:tcPr>
            <w:tcW w:type="dxa" w:w="1440"/>
          </w:tcPr>
          <w:p>
            <w:r>
              <w:t>67%</w:t>
            </w:r>
          </w:p>
        </w:tc>
        <w:tc>
          <w:tcPr>
            <w:tcW w:type="dxa" w:w="1440"/>
          </w:tcPr>
          <w:p>
            <w:r>
              <w:t>28.4%</w:t>
            </w:r>
          </w:p>
        </w:tc>
      </w:tr>
      <w:tr>
        <w:tc>
          <w:tcPr>
            <w:tcW w:type="dxa" w:w="1440"/>
          </w:tcPr>
          <w:p>
            <w:r>
              <w:t>UNI</w:t>
            </w:r>
          </w:p>
        </w:tc>
        <w:tc>
          <w:tcPr>
            <w:tcW w:type="dxa" w:w="1440"/>
          </w:tcPr>
          <w:p>
            <w:r>
              <w:t>+8.9%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1.01</w:t>
            </w:r>
          </w:p>
        </w:tc>
        <w:tc>
          <w:tcPr>
            <w:tcW w:type="dxa" w:w="1440"/>
          </w:tcPr>
          <w:p>
            <w:r>
              <w:t>33%</w:t>
            </w:r>
          </w:p>
        </w:tc>
        <w:tc>
          <w:tcPr>
            <w:tcW w:type="dxa" w:w="1440"/>
          </w:tcPr>
          <w:p>
            <w:r>
              <w:t>137.0%</w:t>
            </w:r>
          </w:p>
        </w:tc>
      </w:tr>
    </w:tbl>
    <w:p/>
    <w:p>
      <w:pPr>
        <w:pStyle w:val="Heading1"/>
      </w:pPr>
      <w:r>
        <w:t>3. Сравнение плечей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Плечо</w:t>
            </w:r>
          </w:p>
        </w:tc>
        <w:tc>
          <w:tcPr>
            <w:tcW w:type="dxa" w:w="2880"/>
          </w:tcPr>
          <w:p>
            <w:r>
              <w:t>Доходность</w:t>
            </w:r>
          </w:p>
        </w:tc>
        <w:tc>
          <w:tcPr>
            <w:tcW w:type="dxa" w:w="2880"/>
          </w:tcPr>
          <w:p>
            <w:r>
              <w:t>Avg PF</w:t>
            </w:r>
          </w:p>
        </w:tc>
      </w:tr>
      <w:tr>
        <w:tc>
          <w:tcPr>
            <w:tcW w:type="dxa" w:w="2880"/>
          </w:tcPr>
          <w:p>
            <w:r>
              <w:t>15x</w:t>
            </w:r>
          </w:p>
        </w:tc>
        <w:tc>
          <w:tcPr>
            <w:tcW w:type="dxa" w:w="2880"/>
          </w:tcPr>
          <w:p>
            <w:r>
              <w:t>+229.95%</w:t>
            </w:r>
          </w:p>
        </w:tc>
        <w:tc>
          <w:tcPr>
            <w:tcW w:type="dxa" w:w="2880"/>
          </w:tcPr>
          <w:p>
            <w:r>
              <w:t>9.43</w:t>
            </w:r>
          </w:p>
        </w:tc>
      </w:tr>
      <w:tr>
        <w:tc>
          <w:tcPr>
            <w:tcW w:type="dxa" w:w="2880"/>
          </w:tcPr>
          <w:p>
            <w:r>
              <w:t>20x</w:t>
            </w:r>
          </w:p>
        </w:tc>
        <w:tc>
          <w:tcPr>
            <w:tcW w:type="dxa" w:w="2880"/>
          </w:tcPr>
          <w:p>
            <w:r>
              <w:t>+272.59%</w:t>
            </w:r>
          </w:p>
        </w:tc>
        <w:tc>
          <w:tcPr>
            <w:tcW w:type="dxa" w:w="2880"/>
          </w:tcPr>
          <w:p>
            <w:r>
              <w:t>7.87</w:t>
            </w:r>
          </w:p>
        </w:tc>
      </w:tr>
      <w:tr>
        <w:tc>
          <w:tcPr>
            <w:tcW w:type="dxa" w:w="2880"/>
          </w:tcPr>
          <w:p>
            <w:r>
              <w:t>50x</w:t>
            </w:r>
          </w:p>
        </w:tc>
        <w:tc>
          <w:tcPr>
            <w:tcW w:type="dxa" w:w="2880"/>
          </w:tcPr>
          <w:p>
            <w:r>
              <w:t>+681.47%</w:t>
            </w:r>
          </w:p>
        </w:tc>
        <w:tc>
          <w:tcPr>
            <w:tcW w:type="dxa" w:w="2880"/>
          </w:tcPr>
          <w:p>
            <w:r>
              <w:t>7.87</w:t>
            </w:r>
          </w:p>
        </w:tc>
      </w:tr>
    </w:tbl>
    <w:p/>
    <w:p>
      <w:pPr>
        <w:pStyle w:val="Heading1"/>
      </w:pPr>
      <w:r>
        <w:t>4. Запуск на реальном счете</w:t>
      </w:r>
    </w:p>
    <w:p>
      <w:r>
        <w:t>Статус: Агенты запущены и торгуют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Агент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Пара</w:t>
            </w:r>
          </w:p>
        </w:tc>
        <w:tc>
          <w:tcPr>
            <w:tcW w:type="dxa" w:w="1728"/>
          </w:tcPr>
          <w:p>
            <w:r>
              <w:t>Плечо</w:t>
            </w:r>
          </w:p>
        </w:tc>
        <w:tc>
          <w:tcPr>
            <w:tcW w:type="dxa" w:w="1728"/>
          </w:tcPr>
          <w:p>
            <w:r>
              <w:t>Статус</w:t>
            </w:r>
          </w:p>
        </w:tc>
      </w:tr>
      <w:tr>
        <w:tc>
          <w:tcPr>
            <w:tcW w:type="dxa" w:w="1728"/>
          </w:tcPr>
          <w:p>
            <w:r>
              <w:t>TrendBot_NEAR_Live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NEAR/USDT</w:t>
            </w:r>
          </w:p>
        </w:tc>
        <w:tc>
          <w:tcPr>
            <w:tcW w:type="dxa" w:w="1728"/>
          </w:tcPr>
          <w:p>
            <w:r>
              <w:t>50x</w:t>
            </w:r>
          </w:p>
        </w:tc>
        <w:tc>
          <w:tcPr>
            <w:tcW w:type="dxa" w:w="1728"/>
          </w:tcPr>
          <w:p>
            <w:r>
              <w:t>Запущен</w:t>
            </w:r>
          </w:p>
        </w:tc>
      </w:tr>
      <w:tr>
        <w:tc>
          <w:tcPr>
            <w:tcW w:type="dxa" w:w="1728"/>
          </w:tcPr>
          <w:p>
            <w:r>
              <w:t>TrendBot_XLM_Live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XLM/USDT</w:t>
            </w:r>
          </w:p>
        </w:tc>
        <w:tc>
          <w:tcPr>
            <w:tcW w:type="dxa" w:w="1728"/>
          </w:tcPr>
          <w:p>
            <w:r>
              <w:t>50x</w:t>
            </w:r>
          </w:p>
        </w:tc>
        <w:tc>
          <w:tcPr>
            <w:tcW w:type="dxa" w:w="1728"/>
          </w:tcPr>
          <w:p>
            <w:r>
              <w:t>Запущен</w:t>
            </w:r>
          </w:p>
        </w:tc>
      </w:tr>
    </w:tbl>
    <w:p/>
    <w:p>
      <w:pPr>
        <w:pStyle w:val="Heading1"/>
      </w:pPr>
      <w:r>
        <w:t>5. Файлы проекта</w:t>
      </w:r>
    </w:p>
    <w:p>
      <w:r>
        <w:t>• TrendBotHandler.cs — C# handler для TSLab</w:t>
      </w:r>
    </w:p>
    <w:p>
      <w:r>
        <w:t>• TrendBot.csproj — проект для сборки</w:t>
      </w:r>
    </w:p>
    <w:p>
      <w:r>
        <w:t>• TrendBot.dll — скомпилированный handler</w:t>
      </w:r>
    </w:p>
    <w:p>
      <w:r>
        <w:t>• analyzer.py — Python анализатор сигналов</w:t>
      </w:r>
    </w:p>
    <w:p>
      <w:r>
        <w:t>• backtest_v2.py — Python бэктест</w:t>
      </w:r>
    </w:p>
    <w:p>
      <w:r>
        <w:t>• config.json — конфигурация стратегии</w:t>
      </w:r>
    </w:p>
    <w:p>
      <w:r>
        <w:t>• backtest_all_pairs.json — результаты на всех парах</w:t>
      </w:r>
    </w:p>
    <w:p>
      <w:r>
        <w:t>• backtest_best_20x.json — результаты с 20x плечом</w:t>
      </w:r>
    </w:p>
    <w:p>
      <w:r>
        <w:t>• backtest_best_50x.json — результаты с 50x плечом</w:t>
      </w:r>
    </w:p>
    <w:p/>
    <w:p>
      <w:pPr>
        <w:pStyle w:val="Heading1"/>
      </w:pPr>
      <w:r>
        <w:t>6. Рекомендации</w:t>
      </w:r>
    </w:p>
    <w:p>
      <w:r>
        <w:t>1. Начинать с малых сумм (30 USDT) и минимального плеча (15x)</w:t>
      </w:r>
    </w:p>
    <w:p>
      <w:r>
        <w:t>2. Использовать только проверенные пары: NEAR, XLM, SOL, AAVE, LINK</w:t>
      </w:r>
    </w:p>
    <w:p>
      <w:r>
        <w:t>3. Мониторить позиции через API или TSLab</w:t>
      </w:r>
    </w:p>
    <w:p>
      <w:r>
        <w:t>4. Не увеличивать плечо выше 50x без опыта</w:t>
      </w:r>
    </w:p>
    <w:p>
      <w:r>
        <w:t>5. Регулярно проверять результаты и корректировать параметры</w:t>
      </w:r>
    </w:p>
    <w:p/>
    <w:p>
      <w:pPr>
        <w:jc w:val="center"/>
      </w:pPr>
      <w:r>
        <w:t>Отчёт сгенерирован автоматически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