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NN Trading Strategy - Final Report</w:t>
      </w:r>
    </w:p>
    <w:p>
      <w:r>
        <w:t>Updated: 10.07.2026 with 12 instruments</w:t>
      </w:r>
    </w:p>
    <w:p>
      <w:pPr>
        <w:pStyle w:val="Heading1"/>
      </w:pPr>
      <w:r>
        <w:t>1. System Overview</w:t>
      </w:r>
    </w:p>
    <w:p>
      <w:r>
        <w:t>Neural network trading strategy for Binance Coin-Margined Futures using ensemble of TCN, LSTM, Transformer, and Attention models with per-instrument optimization.</w:t>
      </w:r>
    </w:p>
    <w:p>
      <w:pPr>
        <w:pStyle w:val="Heading1"/>
      </w:pPr>
      <w:r>
        <w:t>2. Backtest Results (30 days, new data)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Instrument</w:t>
            </w:r>
          </w:p>
        </w:tc>
        <w:tc>
          <w:tcPr>
            <w:tcW w:type="dxa" w:w="2160"/>
          </w:tcPr>
          <w:p>
            <w:r>
              <w:t>Return</w:t>
            </w:r>
          </w:p>
        </w:tc>
        <w:tc>
          <w:tcPr>
            <w:tcW w:type="dxa" w:w="2160"/>
          </w:tcPr>
          <w:p>
            <w:r>
              <w:t>Threshold</w:t>
            </w:r>
          </w:p>
        </w:tc>
        <w:tc>
          <w:tcPr>
            <w:tcW w:type="dxa" w:w="2160"/>
          </w:tcPr>
          <w:p>
            <w:r>
              <w:t>PF</w:t>
            </w:r>
          </w:p>
        </w:tc>
      </w:tr>
      <w:tr>
        <w:tc>
          <w:tcPr>
            <w:tcW w:type="dxa" w:w="2160"/>
          </w:tcPr>
          <w:p>
            <w:r>
              <w:t>UNI</w:t>
            </w:r>
          </w:p>
        </w:tc>
        <w:tc>
          <w:tcPr>
            <w:tcW w:type="dxa" w:w="2160"/>
          </w:tcPr>
          <w:p>
            <w:r>
              <w:t>+66.42%</w:t>
            </w:r>
          </w:p>
        </w:tc>
        <w:tc>
          <w:tcPr>
            <w:tcW w:type="dxa" w:w="2160"/>
          </w:tcPr>
          <w:p>
            <w:r>
              <w:t>0.4</w:t>
            </w:r>
          </w:p>
        </w:tc>
        <w:tc>
          <w:tcPr>
            <w:tcW w:type="dxa" w:w="2160"/>
          </w:tcPr>
          <w:p>
            <w:r>
              <w:t>1.12</w:t>
            </w:r>
          </w:p>
        </w:tc>
      </w:tr>
      <w:tr>
        <w:tc>
          <w:tcPr>
            <w:tcW w:type="dxa" w:w="2160"/>
          </w:tcPr>
          <w:p>
            <w:r>
              <w:t>LINK</w:t>
            </w:r>
          </w:p>
        </w:tc>
        <w:tc>
          <w:tcPr>
            <w:tcW w:type="dxa" w:w="2160"/>
          </w:tcPr>
          <w:p>
            <w:r>
              <w:t>+11.97%</w:t>
            </w:r>
          </w:p>
        </w:tc>
        <w:tc>
          <w:tcPr>
            <w:tcW w:type="dxa" w:w="2160"/>
          </w:tcPr>
          <w:p>
            <w:r>
              <w:t>0.6</w:t>
            </w:r>
          </w:p>
        </w:tc>
        <w:tc>
          <w:tcPr>
            <w:tcW w:type="dxa" w:w="2160"/>
          </w:tcPr>
          <w:p>
            <w:r>
              <w:t>1.13</w:t>
            </w:r>
          </w:p>
        </w:tc>
      </w:tr>
      <w:tr>
        <w:tc>
          <w:tcPr>
            <w:tcW w:type="dxa" w:w="2160"/>
          </w:tcPr>
          <w:p>
            <w:r>
              <w:t>XLM</w:t>
            </w:r>
          </w:p>
        </w:tc>
        <w:tc>
          <w:tcPr>
            <w:tcW w:type="dxa" w:w="2160"/>
          </w:tcPr>
          <w:p>
            <w:r>
              <w:t>+10.62%</w:t>
            </w:r>
          </w:p>
        </w:tc>
        <w:tc>
          <w:tcPr>
            <w:tcW w:type="dxa" w:w="2160"/>
          </w:tcPr>
          <w:p>
            <w:r>
              <w:t>0.5</w:t>
            </w:r>
          </w:p>
        </w:tc>
        <w:tc>
          <w:tcPr>
            <w:tcW w:type="dxa" w:w="2160"/>
          </w:tcPr>
          <w:p>
            <w:r>
              <w:t>1.04</w:t>
            </w:r>
          </w:p>
        </w:tc>
      </w:tr>
      <w:tr>
        <w:tc>
          <w:tcPr>
            <w:tcW w:type="dxa" w:w="2160"/>
          </w:tcPr>
          <w:p>
            <w:r>
              <w:t>AAVE</w:t>
            </w:r>
          </w:p>
        </w:tc>
        <w:tc>
          <w:tcPr>
            <w:tcW w:type="dxa" w:w="2160"/>
          </w:tcPr>
          <w:p>
            <w:r>
              <w:t>+8.61%</w:t>
            </w:r>
          </w:p>
        </w:tc>
        <w:tc>
          <w:tcPr>
            <w:tcW w:type="dxa" w:w="2160"/>
          </w:tcPr>
          <w:p>
            <w:r>
              <w:t>0.5</w:t>
            </w:r>
          </w:p>
        </w:tc>
        <w:tc>
          <w:tcPr>
            <w:tcW w:type="dxa" w:w="2160"/>
          </w:tcPr>
          <w:p>
            <w:r>
              <w:t>1.40</w:t>
            </w:r>
          </w:p>
        </w:tc>
      </w:tr>
      <w:tr>
        <w:tc>
          <w:tcPr>
            <w:tcW w:type="dxa" w:w="2160"/>
          </w:tcPr>
          <w:p>
            <w:r>
              <w:t>SOL</w:t>
            </w:r>
          </w:p>
        </w:tc>
        <w:tc>
          <w:tcPr>
            <w:tcW w:type="dxa" w:w="2160"/>
          </w:tcPr>
          <w:p>
            <w:r>
              <w:t>+6.84%</w:t>
            </w:r>
          </w:p>
        </w:tc>
        <w:tc>
          <w:tcPr>
            <w:tcW w:type="dxa" w:w="2160"/>
          </w:tcPr>
          <w:p>
            <w:r>
              <w:t>0.5</w:t>
            </w:r>
          </w:p>
        </w:tc>
        <w:tc>
          <w:tcPr>
            <w:tcW w:type="dxa" w:w="2160"/>
          </w:tcPr>
          <w:p>
            <w:r>
              <w:t>1.04</w:t>
            </w:r>
          </w:p>
        </w:tc>
      </w:tr>
      <w:tr>
        <w:tc>
          <w:tcPr>
            <w:tcW w:type="dxa" w:w="2160"/>
          </w:tcPr>
          <w:p>
            <w:r>
              <w:t>AVAX</w:t>
            </w:r>
          </w:p>
        </w:tc>
        <w:tc>
          <w:tcPr>
            <w:tcW w:type="dxa" w:w="2160"/>
          </w:tcPr>
          <w:p>
            <w:r>
              <w:t>+3.37%</w:t>
            </w:r>
          </w:p>
        </w:tc>
        <w:tc>
          <w:tcPr>
            <w:tcW w:type="dxa" w:w="2160"/>
          </w:tcPr>
          <w:p>
            <w:r>
              <w:t>0.4</w:t>
            </w:r>
          </w:p>
        </w:tc>
        <w:tc>
          <w:tcPr>
            <w:tcW w:type="dxa" w:w="2160"/>
          </w:tcPr>
          <w:p>
            <w:r>
              <w:t>1.02</w:t>
            </w:r>
          </w:p>
        </w:tc>
      </w:tr>
      <w:tr>
        <w:tc>
          <w:tcPr>
            <w:tcW w:type="dxa" w:w="2160"/>
          </w:tcPr>
          <w:p>
            <w:r>
              <w:t>BTC</w:t>
            </w:r>
          </w:p>
        </w:tc>
        <w:tc>
          <w:tcPr>
            <w:tcW w:type="dxa" w:w="2160"/>
          </w:tcPr>
          <w:p>
            <w:r>
              <w:t>+2.82%</w:t>
            </w:r>
          </w:p>
        </w:tc>
        <w:tc>
          <w:tcPr>
            <w:tcW w:type="dxa" w:w="2160"/>
          </w:tcPr>
          <w:p>
            <w:r>
              <w:t>0.3</w:t>
            </w:r>
          </w:p>
        </w:tc>
        <w:tc>
          <w:tcPr>
            <w:tcW w:type="dxa" w:w="2160"/>
          </w:tcPr>
          <w:p>
            <w:r>
              <w:t>1.02</w:t>
            </w:r>
          </w:p>
        </w:tc>
      </w:tr>
      <w:tr>
        <w:tc>
          <w:tcPr>
            <w:tcW w:type="dxa" w:w="2160"/>
          </w:tcPr>
          <w:p>
            <w:r>
              <w:t>ADA</w:t>
            </w:r>
          </w:p>
        </w:tc>
        <w:tc>
          <w:tcPr>
            <w:tcW w:type="dxa" w:w="2160"/>
          </w:tcPr>
          <w:p>
            <w:r>
              <w:t>+1.90%</w:t>
            </w:r>
          </w:p>
        </w:tc>
        <w:tc>
          <w:tcPr>
            <w:tcW w:type="dxa" w:w="2160"/>
          </w:tcPr>
          <w:p>
            <w:r>
              <w:t>0.5</w:t>
            </w:r>
          </w:p>
        </w:tc>
        <w:tc>
          <w:tcPr>
            <w:tcW w:type="dxa" w:w="2160"/>
          </w:tcPr>
          <w:p>
            <w:r>
              <w:t>1.01</w:t>
            </w:r>
          </w:p>
        </w:tc>
      </w:tr>
      <w:tr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+0.70%</w:t>
            </w:r>
          </w:p>
        </w:tc>
        <w:tc>
          <w:tcPr>
            <w:tcW w:type="dxa" w:w="2160"/>
          </w:tcPr>
          <w:p>
            <w:r>
              <w:t>0.5</w:t>
            </w:r>
          </w:p>
        </w:tc>
        <w:tc>
          <w:tcPr>
            <w:tcW w:type="dxa" w:w="2160"/>
          </w:tcPr>
          <w:p>
            <w:r>
              <w:t>1.05</w:t>
            </w:r>
          </w:p>
        </w:tc>
      </w:tr>
      <w:tr>
        <w:tc>
          <w:tcPr>
            <w:tcW w:type="dxa" w:w="2160"/>
          </w:tcPr>
          <w:p>
            <w:r>
              <w:t>NEAR</w:t>
            </w:r>
          </w:p>
        </w:tc>
        <w:tc>
          <w:tcPr>
            <w:tcW w:type="dxa" w:w="2160"/>
          </w:tcPr>
          <w:p>
            <w:r>
              <w:t>-1.61%</w:t>
            </w:r>
          </w:p>
        </w:tc>
        <w:tc>
          <w:tcPr>
            <w:tcW w:type="dxa" w:w="2160"/>
          </w:tcPr>
          <w:p>
            <w:r>
              <w:t>0.5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</w:tbl>
    <w:p/>
    <w:p>
      <w:r>
        <w:t>Average: +11.17% | Profitable: 9/10</w:t>
      </w:r>
    </w:p>
    <w:p>
      <w:pPr>
        <w:pStyle w:val="Heading1"/>
      </w:pPr>
      <w:r>
        <w:t>3. Trailing Stop</w:t>
      </w:r>
    </w:p>
    <w:p>
      <w:r>
        <w:t>StopLoss: EntryPrice * 0.97 (-3%)</w:t>
      </w:r>
    </w:p>
    <w:p>
      <w:r>
        <w:t>TakeProfit: EntryPrice * 1.04 (+4%)</w:t>
      </w:r>
    </w:p>
    <w:p>
      <w:pPr>
        <w:pStyle w:val="Heading1"/>
      </w:pPr>
      <w:r>
        <w:t>4. TSLab Scripts</w:t>
      </w:r>
    </w:p>
    <w:p>
      <w:pPr>
        <w:pStyle w:val="ListBullet"/>
      </w:pPr>
      <w:r>
        <w:t>NN_AAVE (AAVEUSD_PERP)</w:t>
      </w:r>
    </w:p>
    <w:p>
      <w:pPr>
        <w:pStyle w:val="ListBullet"/>
      </w:pPr>
      <w:r>
        <w:t>NN_SOL (SOLUSD_PERP)</w:t>
      </w:r>
    </w:p>
    <w:p>
      <w:pPr>
        <w:pStyle w:val="ListBullet"/>
      </w:pPr>
      <w:r>
        <w:t>NN_XLM (XLMUSD_PERP)</w:t>
      </w:r>
    </w:p>
    <w:p>
      <w:pPr>
        <w:pStyle w:val="ListBullet"/>
      </w:pPr>
      <w:r>
        <w:t>NN_NEAR (NEARUSD_PERP)</w:t>
      </w:r>
    </w:p>
    <w:p>
      <w:pPr>
        <w:pStyle w:val="ListBullet"/>
      </w:pPr>
      <w:r>
        <w:t>NN_LINK (LINKUSD_PERP)</w:t>
      </w:r>
    </w:p>
    <w:p>
      <w:pPr>
        <w:pStyle w:val="ListBullet"/>
      </w:pPr>
      <w:r>
        <w:t>NN_UNI (UNIUSD_PERP)</w:t>
      </w:r>
    </w:p>
    <w:p>
      <w:pPr>
        <w:pStyle w:val="ListBullet"/>
      </w:pPr>
      <w:r>
        <w:t>NN_BTC (BTCUSD_PERP)</w:t>
      </w:r>
    </w:p>
    <w:p>
      <w:pPr>
        <w:pStyle w:val="ListBullet"/>
      </w:pPr>
      <w:r>
        <w:t>NN_ETH (ETHUSD_PERP)</w:t>
      </w:r>
    </w:p>
    <w:p>
      <w:pPr>
        <w:pStyle w:val="Heading1"/>
      </w:pPr>
      <w:r>
        <w:t>5. Money Management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Deposit</w:t>
            </w:r>
          </w:p>
        </w:tc>
        <w:tc>
          <w:tcPr>
            <w:tcW w:type="dxa" w:w="4320"/>
          </w:tcPr>
          <w:p>
            <w:r>
              <w:t>70 USDT</w:t>
            </w:r>
          </w:p>
        </w:tc>
      </w:tr>
      <w:tr>
        <w:tc>
          <w:tcPr>
            <w:tcW w:type="dxa" w:w="4320"/>
          </w:tcPr>
          <w:p>
            <w:r>
              <w:t>Risk</w:t>
            </w:r>
          </w:p>
        </w:tc>
        <w:tc>
          <w:tcPr>
            <w:tcW w:type="dxa" w:w="4320"/>
          </w:tcPr>
          <w:p>
            <w:r>
              <w:t>1%-20%</w:t>
            </w:r>
          </w:p>
        </w:tc>
      </w:tr>
      <w:tr>
        <w:tc>
          <w:tcPr>
            <w:tcW w:type="dxa" w:w="4320"/>
          </w:tcPr>
          <w:p>
            <w:r>
              <w:t>Leverage</w:t>
            </w:r>
          </w:p>
        </w:tc>
        <w:tc>
          <w:tcPr>
            <w:tcW w:type="dxa" w:w="4320"/>
          </w:tcPr>
          <w:p>
            <w:r>
              <w:t>1x-30x</w:t>
            </w:r>
          </w:p>
        </w:tc>
      </w:tr>
      <w:tr>
        <w:tc>
          <w:tcPr>
            <w:tcW w:type="dxa" w:w="4320"/>
          </w:tcPr>
          <w:p>
            <w:r>
              <w:t>Reinvest</w:t>
            </w:r>
          </w:p>
        </w:tc>
        <w:tc>
          <w:tcPr>
            <w:tcW w:type="dxa" w:w="4320"/>
          </w:tcPr>
          <w:p>
            <w:r>
              <w:t>10%-50%</w:t>
            </w:r>
          </w:p>
        </w:tc>
      </w:tr>
      <w:tr>
        <w:tc>
          <w:tcPr>
            <w:tcW w:type="dxa" w:w="4320"/>
          </w:tcPr>
          <w:p>
            <w:r>
              <w:t>Commission</w:t>
            </w:r>
          </w:p>
        </w:tc>
        <w:tc>
          <w:tcPr>
            <w:tcW w:type="dxa" w:w="4320"/>
          </w:tcPr>
          <w:p>
            <w:r>
              <w:t>0.1%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