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Neural Trading System v2</w:t>
      </w:r>
    </w:p>
    <w:p>
      <w:r>
        <w:t>Отчёт по результатам разработки и тестирования</w:t>
        <w:br/>
        <w:t>нейросетевой торговой системы на основе данных Binance</w:t>
      </w:r>
    </w:p>
    <w:p>
      <w:r>
        <w:t>Дата: Июль 2026</w:t>
      </w:r>
    </w:p>
    <w:p>
      <w:pPr>
        <w:pStyle w:val="Heading1"/>
      </w:pPr>
      <w:r>
        <w:rPr>
          <w:color w:val="003366"/>
        </w:rPr>
        <w:t>1. Резюме</w:t>
      </w:r>
    </w:p>
    <w:p>
      <w:r>
        <w:t>Разработана гибридная торговая система, совмещающая нейросетевые модели (LSTM, Transformer, Attention) с классическими ML (XGBoost, CatBoost, LightGBM, RandomForest). Система протестирована на 11 инструментах cryptocurrency с использованием мультитаймфреймового анализа (1d + 1w + 1M) и walk-forward валидации.</w:t>
      </w:r>
    </w:p>
    <w:p>
      <w:pPr>
        <w:pStyle w:val="Heading1"/>
      </w:pPr>
      <w:r>
        <w:rPr>
          <w:color w:val="003366"/>
        </w:rPr>
        <w:t>2. Данные</w:t>
      </w:r>
    </w:p>
    <w:p>
      <w:r>
        <w:t>Источник: Binance mainnet API (публичный)</w:t>
      </w:r>
    </w:p>
    <w:p>
      <w:r>
        <w:t>Инструменты: BTC, ETH, SOL, NEAR, XLM, AAVE, LINK, SUI, ADA, BCH, TRX, UNI</w:t>
      </w:r>
    </w:p>
    <w:p>
      <w:r>
        <w:t>Таймфреймы: 1d (1820 баров), 1w (260), 1M (60)</w:t>
      </w:r>
    </w:p>
    <w:p>
      <w:r>
        <w:t>Для BTC дополнительно: 5m, 15m, 30m, 1h, 4h</w:t>
      </w:r>
    </w:p>
    <w:p>
      <w:pPr>
        <w:pStyle w:val="Heading1"/>
      </w:pPr>
      <w:r>
        <w:rPr>
          <w:color w:val="003366"/>
        </w:rPr>
        <w:t>3. Архитектура моделей</w:t>
      </w:r>
    </w:p>
    <w:p>
      <w:pPr>
        <w:pStyle w:val="Heading2"/>
      </w:pPr>
      <w:r>
        <w:rPr>
          <w:color w:val="003366"/>
        </w:rPr>
        <w:t>3.1 HybridEnsemble</w:t>
      </w:r>
    </w:p>
    <w:p>
      <w:r>
        <w:t>Ансамбль из 7 моделей:</w:t>
        <w:br/>
        <w:t>- 3 нейросети (LSTM/Transformer/Attention) с разными seed</w:t>
        <w:br/>
        <w:t>- XGBoost, CatBoost, LightGBM, RandomForest</w:t>
        <w:br/>
        <w:t>Веса: оптимизированы через grid search на validation</w:t>
      </w:r>
    </w:p>
    <w:p>
      <w:pPr>
        <w:pStyle w:val="Heading2"/>
      </w:pPr>
      <w:r>
        <w:rPr>
          <w:color w:val="003366"/>
        </w:rPr>
        <w:t>3.2 Мультитаймфреймовые фичи</w:t>
      </w:r>
    </w:p>
    <w:p>
      <w:r>
        <w:t>Для каждого таймфрейма считаются:</w:t>
        <w:br/>
        <w:t>EMA(10,20,50), RSI(14), MACD, Bollinger Bands, ATR, ADX,</w:t>
        <w:br/>
        <w:t>Stochastic, Williams %R, CCI, ROC, Momentum, OBV, MFI</w:t>
        <w:br/>
        <w:t>Итого: 50-170 фичей → auto-select топ-50</w:t>
      </w:r>
    </w:p>
    <w:p>
      <w:pPr>
        <w:pStyle w:val="Heading2"/>
      </w:pPr>
      <w:r>
        <w:rPr>
          <w:color w:val="003366"/>
        </w:rPr>
        <w:t>3.3 Walk-forward валидация</w:t>
      </w:r>
    </w:p>
    <w:p>
      <w:r>
        <w:t>Anchored (расширяющееся) окно:</w:t>
        <w:br/>
        <w:t>- Train: от начала до fold_size*(i+1)</w:t>
        <w:br/>
        <w:t>- Test: следующие fold_size баров</w:t>
        <w:br/>
        <w:t>- 5 фолдов для каждого инструмента</w:t>
      </w:r>
    </w:p>
    <w:p>
      <w:pPr>
        <w:pStyle w:val="Heading1"/>
      </w:pPr>
      <w:r>
        <w:rPr>
          <w:color w:val="003366"/>
        </w:rPr>
        <w:t>4. Результаты</w:t>
      </w:r>
    </w:p>
    <w:p>
      <w:pPr>
        <w:pStyle w:val="Heading2"/>
      </w:pPr>
      <w:r>
        <w:rPr>
          <w:color w:val="003366"/>
        </w:rPr>
        <w:t>4.1 Walk-forward: 10 инструментов (3 фолда)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Drawdown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Win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Sortino</w:t>
            </w:r>
          </w:p>
        </w:tc>
      </w:tr>
      <w:tr>
        <w:tc>
          <w:tcPr>
            <w:tcW w:type="dxa" w:w="1440"/>
          </w:tcPr>
          <w:p>
            <w:r>
              <w:t>NEAR</w:t>
            </w:r>
          </w:p>
        </w:tc>
        <w:tc>
          <w:tcPr>
            <w:tcW w:type="dxa" w:w="1440"/>
          </w:tcPr>
          <w:p>
            <w:r>
              <w:t>+18.24%</w:t>
            </w:r>
          </w:p>
        </w:tc>
        <w:tc>
          <w:tcPr>
            <w:tcW w:type="dxa" w:w="1440"/>
          </w:tcPr>
          <w:p>
            <w:r>
              <w:t>-22.86%</w:t>
            </w:r>
          </w:p>
        </w:tc>
        <w:tc>
          <w:tcPr>
            <w:tcW w:type="dxa" w:w="1440"/>
          </w:tcPr>
          <w:p>
            <w:r>
              <w:t>36.4%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2.93</w:t>
            </w:r>
          </w:p>
        </w:tc>
      </w:tr>
      <w:tr>
        <w:tc>
          <w:tcPr>
            <w:tcW w:type="dxa" w:w="1440"/>
          </w:tcPr>
          <w:p>
            <w:r>
              <w:t>XLM</w:t>
            </w:r>
          </w:p>
        </w:tc>
        <w:tc>
          <w:tcPr>
            <w:tcW w:type="dxa" w:w="1440"/>
          </w:tcPr>
          <w:p>
            <w:r>
              <w:t>+20.62%</w:t>
            </w:r>
          </w:p>
        </w:tc>
        <w:tc>
          <w:tcPr>
            <w:tcW w:type="dxa" w:w="1440"/>
          </w:tcPr>
          <w:p>
            <w:r>
              <w:t>-8.08%</w:t>
            </w:r>
          </w:p>
        </w:tc>
        <w:tc>
          <w:tcPr>
            <w:tcW w:type="dxa" w:w="1440"/>
          </w:tcPr>
          <w:p>
            <w:r>
              <w:t>39.9%</w:t>
            </w:r>
          </w:p>
        </w:tc>
        <w:tc>
          <w:tcPr>
            <w:tcW w:type="dxa" w:w="1440"/>
          </w:tcPr>
          <w:p>
            <w:r>
              <w:t>2.48</w:t>
            </w:r>
          </w:p>
        </w:tc>
        <w:tc>
          <w:tcPr>
            <w:tcW w:type="dxa" w:w="1440"/>
          </w:tcPr>
          <w:p>
            <w:r>
              <w:t>15.62</w:t>
            </w:r>
          </w:p>
        </w:tc>
      </w:tr>
      <w:tr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+11.70%</w:t>
            </w:r>
          </w:p>
        </w:tc>
        <w:tc>
          <w:tcPr>
            <w:tcW w:type="dxa" w:w="1440"/>
          </w:tcPr>
          <w:p>
            <w:r>
              <w:t>-11.14%</w:t>
            </w:r>
          </w:p>
        </w:tc>
        <w:tc>
          <w:tcPr>
            <w:tcW w:type="dxa" w:w="1440"/>
          </w:tcPr>
          <w:p>
            <w:r>
              <w:t>21.8%</w:t>
            </w:r>
          </w:p>
        </w:tc>
        <w:tc>
          <w:tcPr>
            <w:tcW w:type="dxa" w:w="1440"/>
          </w:tcPr>
          <w:p>
            <w:r>
              <w:t>1.26</w:t>
            </w:r>
          </w:p>
        </w:tc>
        <w:tc>
          <w:tcPr>
            <w:tcW w:type="dxa" w:w="1440"/>
          </w:tcPr>
          <w:p>
            <w:r>
              <w:t>6.02</w:t>
            </w:r>
          </w:p>
        </w:tc>
      </w:tr>
      <w:tr>
        <w:tc>
          <w:tcPr>
            <w:tcW w:type="dxa" w:w="1440"/>
          </w:tcPr>
          <w:p>
            <w:r>
              <w:t>AAVE</w:t>
            </w:r>
          </w:p>
        </w:tc>
        <w:tc>
          <w:tcPr>
            <w:tcW w:type="dxa" w:w="1440"/>
          </w:tcPr>
          <w:p>
            <w:r>
              <w:t>+9.06%</w:t>
            </w:r>
          </w:p>
        </w:tc>
        <w:tc>
          <w:tcPr>
            <w:tcW w:type="dxa" w:w="1440"/>
          </w:tcPr>
          <w:p>
            <w:r>
              <w:t>-10.33%</w:t>
            </w:r>
          </w:p>
        </w:tc>
        <w:tc>
          <w:tcPr>
            <w:tcW w:type="dxa" w:w="1440"/>
          </w:tcPr>
          <w:p>
            <w:r>
              <w:t>25.4%</w:t>
            </w:r>
          </w:p>
        </w:tc>
        <w:tc>
          <w:tcPr>
            <w:tcW w:type="dxa" w:w="1440"/>
          </w:tcPr>
          <w:p>
            <w:r>
              <w:t>1.01</w:t>
            </w:r>
          </w:p>
        </w:tc>
        <w:tc>
          <w:tcPr>
            <w:tcW w:type="dxa" w:w="1440"/>
          </w:tcPr>
          <w:p>
            <w:r>
              <w:t>4.42</w:t>
            </w:r>
          </w:p>
        </w:tc>
      </w:tr>
      <w:tr>
        <w:tc>
          <w:tcPr>
            <w:tcW w:type="dxa" w:w="1440"/>
          </w:tcPr>
          <w:p>
            <w:r>
              <w:t>LINK</w:t>
            </w:r>
          </w:p>
        </w:tc>
        <w:tc>
          <w:tcPr>
            <w:tcW w:type="dxa" w:w="1440"/>
          </w:tcPr>
          <w:p>
            <w:r>
              <w:t>-13.41%</w:t>
            </w:r>
          </w:p>
        </w:tc>
        <w:tc>
          <w:tcPr>
            <w:tcW w:type="dxa" w:w="1440"/>
          </w:tcPr>
          <w:p>
            <w:r>
              <w:t>-19.41%</w:t>
            </w:r>
          </w:p>
        </w:tc>
        <w:tc>
          <w:tcPr>
            <w:tcW w:type="dxa" w:w="1440"/>
          </w:tcPr>
          <w:p>
            <w:r>
              <w:t>25.8%</w:t>
            </w:r>
          </w:p>
        </w:tc>
        <w:tc>
          <w:tcPr>
            <w:tcW w:type="dxa" w:w="1440"/>
          </w:tcPr>
          <w:p>
            <w:r>
              <w:t>-1.97</w:t>
            </w:r>
          </w:p>
        </w:tc>
        <w:tc>
          <w:tcPr>
            <w:tcW w:type="dxa" w:w="1440"/>
          </w:tcPr>
          <w:p>
            <w:r>
              <w:t>-6.12</w:t>
            </w:r>
          </w:p>
        </w:tc>
      </w:tr>
      <w:tr>
        <w:tc>
          <w:tcPr>
            <w:tcW w:type="dxa" w:w="1440"/>
          </w:tcPr>
          <w:p>
            <w:r>
              <w:t>ADA</w:t>
            </w:r>
          </w:p>
        </w:tc>
        <w:tc>
          <w:tcPr>
            <w:tcW w:type="dxa" w:w="1440"/>
          </w:tcPr>
          <w:p>
            <w:r>
              <w:t>-7.74%</w:t>
            </w:r>
          </w:p>
        </w:tc>
        <w:tc>
          <w:tcPr>
            <w:tcW w:type="dxa" w:w="1440"/>
          </w:tcPr>
          <w:p>
            <w:r>
              <w:t>-17.04%</w:t>
            </w:r>
          </w:p>
        </w:tc>
        <w:tc>
          <w:tcPr>
            <w:tcW w:type="dxa" w:w="1440"/>
          </w:tcPr>
          <w:p>
            <w:r>
              <w:t>33.0%</w:t>
            </w:r>
          </w:p>
        </w:tc>
        <w:tc>
          <w:tcPr>
            <w:tcW w:type="dxa" w:w="1440"/>
          </w:tcPr>
          <w:p>
            <w:r>
              <w:t>-0.54</w:t>
            </w:r>
          </w:p>
        </w:tc>
        <w:tc>
          <w:tcPr>
            <w:tcW w:type="dxa" w:w="1440"/>
          </w:tcPr>
          <w:p>
            <w:r>
              <w:t>-2.05</w:t>
            </w:r>
          </w:p>
        </w:tc>
      </w:tr>
      <w:tr>
        <w:tc>
          <w:tcPr>
            <w:tcW w:type="dxa" w:w="1440"/>
          </w:tcPr>
          <w:p>
            <w:r>
              <w:t>BCH</w:t>
            </w:r>
          </w:p>
        </w:tc>
        <w:tc>
          <w:tcPr>
            <w:tcW w:type="dxa" w:w="1440"/>
          </w:tcPr>
          <w:p>
            <w:r>
              <w:t>+2.36%</w:t>
            </w:r>
          </w:p>
        </w:tc>
        <w:tc>
          <w:tcPr>
            <w:tcW w:type="dxa" w:w="1440"/>
          </w:tcPr>
          <w:p>
            <w:r>
              <w:t>-4.72%</w:t>
            </w:r>
          </w:p>
        </w:tc>
        <w:tc>
          <w:tcPr>
            <w:tcW w:type="dxa" w:w="1440"/>
          </w:tcPr>
          <w:p>
            <w:r>
              <w:t>26.5%</w:t>
            </w:r>
          </w:p>
        </w:tc>
        <w:tc>
          <w:tcPr>
            <w:tcW w:type="dxa" w:w="1440"/>
          </w:tcPr>
          <w:p>
            <w:r>
              <w:t>1.55</w:t>
            </w:r>
          </w:p>
        </w:tc>
        <w:tc>
          <w:tcPr>
            <w:tcW w:type="dxa" w:w="1440"/>
          </w:tcPr>
          <w:p>
            <w:r>
              <w:t>6.27</w:t>
            </w:r>
          </w:p>
        </w:tc>
      </w:tr>
      <w:tr>
        <w:tc>
          <w:tcPr>
            <w:tcW w:type="dxa" w:w="1440"/>
          </w:tcPr>
          <w:p>
            <w:r>
              <w:t>TRX</w:t>
            </w:r>
          </w:p>
        </w:tc>
        <w:tc>
          <w:tcPr>
            <w:tcW w:type="dxa" w:w="1440"/>
          </w:tcPr>
          <w:p>
            <w:r>
              <w:t>-42.57%</w:t>
            </w:r>
          </w:p>
        </w:tc>
        <w:tc>
          <w:tcPr>
            <w:tcW w:type="dxa" w:w="1440"/>
          </w:tcPr>
          <w:p>
            <w:r>
              <w:t>-42.57%</w:t>
            </w:r>
          </w:p>
        </w:tc>
        <w:tc>
          <w:tcPr>
            <w:tcW w:type="dxa" w:w="1440"/>
          </w:tcPr>
          <w:p>
            <w:r>
              <w:t>35.2%</w:t>
            </w:r>
          </w:p>
        </w:tc>
        <w:tc>
          <w:tcPr>
            <w:tcW w:type="dxa" w:w="1440"/>
          </w:tcPr>
          <w:p>
            <w:r>
              <w:t>-2.95</w:t>
            </w:r>
          </w:p>
        </w:tc>
        <w:tc>
          <w:tcPr>
            <w:tcW w:type="dxa" w:w="1440"/>
          </w:tcPr>
          <w:p>
            <w:r>
              <w:t>-6.47</w:t>
            </w:r>
          </w:p>
        </w:tc>
      </w:tr>
      <w:tr>
        <w:tc>
          <w:tcPr>
            <w:tcW w:type="dxa" w:w="1440"/>
          </w:tcPr>
          <w:p>
            <w:r>
              <w:t>UNI</w:t>
            </w:r>
          </w:p>
        </w:tc>
        <w:tc>
          <w:tcPr>
            <w:tcW w:type="dxa" w:w="1440"/>
          </w:tcPr>
          <w:p>
            <w:r>
              <w:t>-22.80%</w:t>
            </w:r>
          </w:p>
        </w:tc>
        <w:tc>
          <w:tcPr>
            <w:tcW w:type="dxa" w:w="1440"/>
          </w:tcPr>
          <w:p>
            <w:r>
              <w:t>-27.15%</w:t>
            </w:r>
          </w:p>
        </w:tc>
        <w:tc>
          <w:tcPr>
            <w:tcW w:type="dxa" w:w="1440"/>
          </w:tcPr>
          <w:p>
            <w:r>
              <w:t>29.6%</w:t>
            </w:r>
          </w:p>
        </w:tc>
        <w:tc>
          <w:tcPr>
            <w:tcW w:type="dxa" w:w="1440"/>
          </w:tcPr>
          <w:p>
            <w:r>
              <w:t>-1.43</w:t>
            </w:r>
          </w:p>
        </w:tc>
        <w:tc>
          <w:tcPr>
            <w:tcW w:type="dxa" w:w="1440"/>
          </w:tcPr>
          <w:p>
            <w:r>
              <w:t>-7.10</w:t>
            </w:r>
          </w:p>
        </w:tc>
      </w:tr>
    </w:tbl>
    <w:p>
      <w:r>
        <w:br/>
        <w:t>Прибыльных инструментов: 5/9</w:t>
      </w:r>
    </w:p>
    <w:p>
      <w:r>
        <w:t>Средняя доходность (прибыльных): +12.40%</w:t>
      </w:r>
    </w:p>
    <w:p>
      <w:r>
        <w:t>Средний Sharpe (прибыльных): +1.42</w:t>
      </w:r>
    </w:p>
    <w:p>
      <w:pPr>
        <w:pStyle w:val="Heading2"/>
      </w:pPr>
      <w:r>
        <w:rPr>
          <w:color w:val="003366"/>
        </w:rPr>
        <w:t>4.2 3-летний бэктест портфеля</w:t>
      </w:r>
    </w:p>
    <w:p>
      <w:r>
        <w:t>Total Return: -1.43%</w:t>
      </w:r>
    </w:p>
    <w:p>
      <w:r>
        <w:t>Max Drawdown: -2.69%</w:t>
      </w:r>
    </w:p>
    <w:p>
      <w:r>
        <w:t>Sharpe Ratio: -3.55</w:t>
      </w:r>
    </w:p>
    <w:p>
      <w:r>
        <w:t>Sortino Ratio: -6.79</w:t>
      </w:r>
    </w:p>
    <w:p>
      <w:pPr>
        <w:pStyle w:val="Heading1"/>
      </w:pPr>
      <w:r>
        <w:rPr>
          <w:color w:val="003366"/>
        </w:rPr>
        <w:t>5. Portfolio Analysis</w:t>
      </w:r>
    </w:p>
    <w:p>
      <w:r>
        <w:t>Ожидаемая доходность портфеля: +114.03%</w:t>
      </w:r>
    </w:p>
    <w:p>
      <w:r>
        <w:t>Распределение:</w:t>
      </w:r>
    </w:p>
    <w:p>
      <w:pPr>
        <w:pStyle w:val="ListBullet"/>
      </w:pPr>
      <w:r>
        <w:t xml:space="preserve">  Solana: 26.1%</w:t>
      </w:r>
    </w:p>
    <w:p>
      <w:pPr>
        <w:pStyle w:val="ListBullet"/>
      </w:pPr>
      <w:r>
        <w:t xml:space="preserve">  XLM: 22.2%</w:t>
      </w:r>
    </w:p>
    <w:p>
      <w:pPr>
        <w:pStyle w:val="ListBullet"/>
      </w:pPr>
      <w:r>
        <w:t xml:space="preserve">  BCH: 13.8%</w:t>
      </w:r>
    </w:p>
    <w:p>
      <w:pPr>
        <w:pStyle w:val="ListBullet"/>
      </w:pPr>
      <w:r>
        <w:t xml:space="preserve">  SOL: 11.3%</w:t>
      </w:r>
    </w:p>
    <w:p>
      <w:pPr>
        <w:pStyle w:val="ListBullet"/>
      </w:pPr>
      <w:r>
        <w:t xml:space="preserve">  Ethereum: 10.5%</w:t>
      </w:r>
    </w:p>
    <w:p>
      <w:pPr>
        <w:pStyle w:val="ListBullet"/>
      </w:pPr>
      <w:r>
        <w:t xml:space="preserve">  AAVE: 9.0%</w:t>
      </w:r>
    </w:p>
    <w:p>
      <w:pPr>
        <w:pStyle w:val="ListBullet"/>
      </w:pPr>
      <w:r>
        <w:t xml:space="preserve">  NEAR: 7.1%</w:t>
      </w:r>
    </w:p>
    <w:p>
      <w:pPr>
        <w:pStyle w:val="Heading1"/>
      </w:pPr>
      <w:r>
        <w:rPr>
          <w:color w:val="003366"/>
        </w:rPr>
        <w:t>6. Рекомендации</w:t>
      </w:r>
    </w:p>
    <w:p>
      <w:r>
        <w:t>1. XLM, NEAR, SOL, AAVE, BCH — прибыльные инструменты, основа портфеля</w:t>
        <w:br/>
        <w:t>2. ADA, LINK, UNI, TRX — убыточны, исключить из портфеля</w:t>
        <w:br/>
        <w:t>3. Динамическая ребалансировка каждые 30 баров</w:t>
        <w:br/>
        <w:t>4. Confidence threshold 0.5+ для снижения количества сделок</w:t>
        <w:br/>
        <w:t>5. Мониторинг drawdown — при превышении 15% снижать позиции</w:t>
        <w:br/>
        <w:t>6. BTC требует further оптимизации (RL, больше данных)</w:t>
      </w:r>
    </w:p>
    <w:p>
      <w:pPr>
        <w:pStyle w:val="Heading1"/>
      </w:pPr>
      <w:r>
        <w:rPr>
          <w:color w:val="003366"/>
        </w:rPr>
        <w:t>7. Технические детали</w:t>
      </w:r>
    </w:p>
    <w:p>
      <w:r>
        <w:t>- Python 3.13, PyTorch 2.x, scikit-learn, XGBoost, CatBoost, LightGBM</w:t>
        <w:br/>
        <w:t>- CPU throttling: 2 потока (OMP_NUM_THREADS=2)</w:t>
        <w:br/>
        <w:t>- Комиссии: 0.1% taker + 0.05% slippage + 0.05% spread</w:t>
        <w:br/>
        <w:t>- Risk management: dynamic position sizing based on ATR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