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SkSred v2.0 — Оптимизированная стратегия</w:t>
      </w:r>
    </w:p>
    <w:p>
      <w:r>
        <w:t>Дата: 07.07.2026</w:t>
      </w:r>
    </w:p>
    <w:p>
      <w:pPr>
        <w:pStyle w:val="Heading1"/>
      </w:pPr>
      <w:r>
        <w:t>1. Обзор стратегии</w:t>
      </w:r>
    </w:p>
    <w:p>
      <w:r>
        <w:t>SkSred — это автоматическая торговая стратегия на основе пересечения скользящих средних (SMA) с адаптивным реинвестированием прибыли по тренду. Стратегия предназначена для торговли криптовалютными фьючерсами на Binance.</w:t>
      </w:r>
    </w:p>
    <w:p>
      <w:pPr>
        <w:pStyle w:val="Heading1"/>
      </w:pPr>
      <w:r>
        <w:t>2. Параметры стратегии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Инструмент</w:t>
            </w:r>
          </w:p>
        </w:tc>
        <w:tc>
          <w:tcPr>
            <w:tcW w:type="dxa" w:w="4320"/>
          </w:tcPr>
          <w:p>
            <w:r>
              <w:t>DOGEUSD_PERP (Binance Futures)</w:t>
            </w:r>
          </w:p>
        </w:tc>
      </w:tr>
      <w:tr>
        <w:tc>
          <w:tcPr>
            <w:tcW w:type="dxa" w:w="4320"/>
          </w:tcPr>
          <w:p>
            <w:r>
              <w:t>Таймфрейм</w:t>
            </w:r>
          </w:p>
        </w:tc>
        <w:tc>
          <w:tcPr>
            <w:tcW w:type="dxa" w:w="4320"/>
          </w:tcPr>
          <w:p>
            <w:r>
              <w:t>1H (часовой)</w:t>
            </w:r>
          </w:p>
        </w:tc>
      </w:tr>
      <w:tr>
        <w:tc>
          <w:tcPr>
            <w:tcW w:type="dxa" w:w="4320"/>
          </w:tcPr>
          <w:p>
            <w:r>
              <w:t>Начальный капитал</w:t>
            </w:r>
          </w:p>
        </w:tc>
        <w:tc>
          <w:tcPr>
            <w:tcW w:type="dxa" w:w="4320"/>
          </w:tcPr>
          <w:p>
            <w:r>
              <w:t>25 USDT</w:t>
            </w:r>
          </w:p>
        </w:tc>
      </w:tr>
      <w:tr>
        <w:tc>
          <w:tcPr>
            <w:tcW w:type="dxa" w:w="4320"/>
          </w:tcPr>
          <w:p>
            <w:r>
              <w:t>Плечо</w:t>
            </w:r>
          </w:p>
        </w:tc>
        <w:tc>
          <w:tcPr>
            <w:tcW w:type="dxa" w:w="4320"/>
          </w:tcPr>
          <w:p>
            <w:r>
              <w:t>1.7x</w:t>
            </w:r>
          </w:p>
        </w:tc>
      </w:tr>
      <w:tr>
        <w:tc>
          <w:tcPr>
            <w:tcW w:type="dxa" w:w="4320"/>
          </w:tcPr>
          <w:p>
            <w:r>
              <w:t>Risk на сделку</w:t>
            </w:r>
          </w:p>
        </w:tc>
        <w:tc>
          <w:tcPr>
            <w:tcW w:type="dxa" w:w="4320"/>
          </w:tcPr>
          <w:p>
            <w:r>
              <w:t>0.3%</w:t>
            </w:r>
          </w:p>
        </w:tc>
      </w:tr>
      <w:tr>
        <w:tc>
          <w:tcPr>
            <w:tcW w:type="dxa" w:w="4320"/>
          </w:tcPr>
          <w:p>
            <w:r>
              <w:t>Stop Loss</w:t>
            </w:r>
          </w:p>
        </w:tc>
        <w:tc>
          <w:tcPr>
            <w:tcW w:type="dxa" w:w="4320"/>
          </w:tcPr>
          <w:p>
            <w:r>
              <w:t>1.6x ATR</w:t>
            </w:r>
          </w:p>
        </w:tc>
      </w:tr>
      <w:tr>
        <w:tc>
          <w:tcPr>
            <w:tcW w:type="dxa" w:w="4320"/>
          </w:tcPr>
          <w:p>
            <w:r>
              <w:t>Take Profit</w:t>
            </w:r>
          </w:p>
        </w:tc>
        <w:tc>
          <w:tcPr>
            <w:tcW w:type="dxa" w:w="4320"/>
          </w:tcPr>
          <w:p>
            <w:r>
              <w:t>2.5x ATR</w:t>
            </w:r>
          </w:p>
        </w:tc>
      </w:tr>
      <w:tr>
        <w:tc>
          <w:tcPr>
            <w:tcW w:type="dxa" w:w="4320"/>
          </w:tcPr>
          <w:p>
            <w:r>
              <w:t>Trailing Stop</w:t>
            </w:r>
          </w:p>
        </w:tc>
        <w:tc>
          <w:tcPr>
            <w:tcW w:type="dxa" w:w="4320"/>
          </w:tcPr>
          <w:p>
            <w:r>
              <w:t>0.8%</w:t>
            </w:r>
          </w:p>
        </w:tc>
      </w:tr>
      <w:tr>
        <w:tc>
          <w:tcPr>
            <w:tcW w:type="dxa" w:w="4320"/>
          </w:tcPr>
          <w:p>
            <w:r>
              <w:t>Комиссия</w:t>
            </w:r>
          </w:p>
        </w:tc>
        <w:tc>
          <w:tcPr>
            <w:tcW w:type="dxa" w:w="4320"/>
          </w:tcPr>
          <w:p>
            <w:r>
              <w:t>0.1%</w:t>
            </w:r>
          </w:p>
        </w:tc>
      </w:tr>
    </w:tbl>
    <w:p>
      <w:pPr>
        <w:pStyle w:val="Heading1"/>
      </w:pPr>
      <w:r>
        <w:t>3. Индикаторы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Индикатор</w:t>
            </w:r>
          </w:p>
        </w:tc>
        <w:tc>
          <w:tcPr>
            <w:tcW w:type="dxa" w:w="2880"/>
          </w:tcPr>
          <w:p>
            <w:r>
              <w:t>Период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SMA Fast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Краткосрочная скользящая средняя</w:t>
            </w:r>
          </w:p>
        </w:tc>
      </w:tr>
      <w:tr>
        <w:tc>
          <w:tcPr>
            <w:tcW w:type="dxa" w:w="2880"/>
          </w:tcPr>
          <w:p>
            <w:r>
              <w:t>SMA Slow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Долгосрочная скользящая средняя</w:t>
            </w:r>
          </w:p>
        </w:tc>
      </w:tr>
      <w:tr>
        <w:tc>
          <w:tcPr>
            <w:tcW w:type="dxa" w:w="2880"/>
          </w:tcPr>
          <w:p>
            <w:r>
              <w:t>EMA Trend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Фильтр тренда</w:t>
            </w:r>
          </w:p>
        </w:tc>
      </w:tr>
      <w:tr>
        <w:tc>
          <w:tcPr>
            <w:tcW w:type="dxa" w:w="2880"/>
          </w:tcPr>
          <w:p>
            <w:r>
              <w:t>RSI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Фильтр перекупленности/перепроданности</w:t>
            </w:r>
          </w:p>
        </w:tc>
      </w:tr>
      <w:tr>
        <w:tc>
          <w:tcPr>
            <w:tcW w:type="dxa" w:w="2880"/>
          </w:tcPr>
          <w:p>
            <w:r>
              <w:t>ATR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Расчёт стоп-лосс и тейк-профит</w:t>
            </w:r>
          </w:p>
        </w:tc>
      </w:tr>
    </w:tbl>
    <w:p>
      <w:pPr>
        <w:pStyle w:val="Heading1"/>
      </w:pPr>
      <w:r>
        <w:t>4. Сигналы входа</w:t>
      </w:r>
    </w:p>
    <w:p>
      <w:pPr>
        <w:pStyle w:val="Heading2"/>
      </w:pPr>
      <w:r>
        <w:t>LONG:</w:t>
      </w:r>
    </w:p>
    <w:p>
      <w:pPr>
        <w:pStyle w:val="ListBullet"/>
      </w:pPr>
      <w:r>
        <w:t>• SMA Fast пересекает SMA Slow снизу вверх (Golden Cross)</w:t>
      </w:r>
    </w:p>
    <w:p>
      <w:pPr>
        <w:pStyle w:val="ListBullet"/>
      </w:pPr>
      <w:r>
        <w:t>• RSI &lt; 70 (нет перекупленности)</w:t>
      </w:r>
    </w:p>
    <w:p>
      <w:pPr>
        <w:pStyle w:val="ListBullet"/>
      </w:pPr>
      <w:r>
        <w:t>• Цена выше EMA200 (восходящий тренд)</w:t>
      </w:r>
    </w:p>
    <w:p>
      <w:pPr>
        <w:pStyle w:val="Heading2"/>
      </w:pPr>
      <w:r>
        <w:t>SHORT:</w:t>
      </w:r>
    </w:p>
    <w:p>
      <w:pPr>
        <w:pStyle w:val="ListBullet"/>
      </w:pPr>
      <w:r>
        <w:t>• SMA Fast пересекает SMA Slow сверху вниз (Death Cross)</w:t>
      </w:r>
    </w:p>
    <w:p>
      <w:pPr>
        <w:pStyle w:val="ListBullet"/>
      </w:pPr>
      <w:r>
        <w:t>• RSI &gt; 30 (нет перепроданности)</w:t>
      </w:r>
    </w:p>
    <w:p>
      <w:pPr>
        <w:pStyle w:val="ListBullet"/>
      </w:pPr>
      <w:r>
        <w:t>• Цена ниже EMA200 (нисходящий тренд)</w:t>
      </w:r>
    </w:p>
    <w:p>
      <w:pPr>
        <w:pStyle w:val="Heading1"/>
      </w:pPr>
      <w:r>
        <w:t>5. Управление рисками</w:t>
      </w:r>
    </w:p>
    <w:p>
      <w:pPr>
        <w:pStyle w:val="ListBullet"/>
      </w:pPr>
      <w:r>
        <w:t>• Stop Loss: 1.6x ATR от точки входа</w:t>
      </w:r>
    </w:p>
    <w:p>
      <w:pPr>
        <w:pStyle w:val="ListBullet"/>
      </w:pPr>
      <w:r>
        <w:t>• Take Profit: 2.5x ATR от точки входа</w:t>
      </w:r>
    </w:p>
    <w:p>
      <w:pPr>
        <w:pStyle w:val="ListBullet"/>
      </w:pPr>
      <w:r>
        <w:t>• Trailing Stop: 0.8% от пика прибыли</w:t>
      </w:r>
    </w:p>
    <w:p>
      <w:pPr>
        <w:pStyle w:val="ListBullet"/>
      </w:pPr>
      <w:r>
        <w:t>• Максимальная просадка: 25%</w:t>
      </w:r>
    </w:p>
    <w:p>
      <w:pPr>
        <w:pStyle w:val="Heading1"/>
      </w:pPr>
      <w:r>
        <w:t>6. Адаптивное реинвестирование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Тренд</w:t>
            </w:r>
          </w:p>
        </w:tc>
        <w:tc>
          <w:tcPr>
            <w:tcW w:type="dxa" w:w="2880"/>
          </w:tcPr>
          <w:p>
            <w:r>
              <w:t>Реинвест</w:t>
            </w:r>
          </w:p>
        </w:tc>
        <w:tc>
          <w:tcPr>
            <w:tcW w:type="dxa" w:w="2880"/>
          </w:tcPr>
          <w:p>
            <w:r>
              <w:t>Условие</w:t>
            </w:r>
          </w:p>
        </w:tc>
      </w:tr>
      <w:tr>
        <w:tc>
          <w:tcPr>
            <w:tcW w:type="dxa" w:w="2880"/>
          </w:tcPr>
          <w:p>
            <w:r>
              <w:t>Восходящий</w:t>
            </w:r>
          </w:p>
        </w:tc>
        <w:tc>
          <w:tcPr>
            <w:tcW w:type="dxa" w:w="2880"/>
          </w:tcPr>
          <w:p>
            <w:r>
              <w:t>8%</w:t>
            </w:r>
          </w:p>
        </w:tc>
        <w:tc>
          <w:tcPr>
            <w:tcW w:type="dxa" w:w="2880"/>
          </w:tcPr>
          <w:p>
            <w:r>
              <w:t>Цена &gt; EMA200 * 1.02</w:t>
            </w:r>
          </w:p>
        </w:tc>
      </w:tr>
      <w:tr>
        <w:tc>
          <w:tcPr>
            <w:tcW w:type="dxa" w:w="2880"/>
          </w:tcPr>
          <w:p>
            <w:r>
              <w:t>Боковой</w:t>
            </w:r>
          </w:p>
        </w:tc>
        <w:tc>
          <w:tcPr>
            <w:tcW w:type="dxa" w:w="2880"/>
          </w:tcPr>
          <w:p>
            <w:r>
              <w:t>2%</w:t>
            </w:r>
          </w:p>
        </w:tc>
        <w:tc>
          <w:tcPr>
            <w:tcW w:type="dxa" w:w="2880"/>
          </w:tcPr>
          <w:p>
            <w:r>
              <w:t>EMA200 * 0.98 ≤ Цена ≤ EMA200 * 1.02</w:t>
            </w:r>
          </w:p>
        </w:tc>
      </w:tr>
      <w:tr>
        <w:tc>
          <w:tcPr>
            <w:tcW w:type="dxa" w:w="2880"/>
          </w:tcPr>
          <w:p>
            <w:r>
              <w:t>Нисходящий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Цена &lt; EMA200 * 0.98</w:t>
            </w:r>
          </w:p>
        </w:tc>
      </w:tr>
    </w:tbl>
    <w:p>
      <w:pPr>
        <w:pStyle w:val="Heading1"/>
      </w:pPr>
      <w:r>
        <w:t>7. Результаты бэктеста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Метрика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Период</w:t>
            </w:r>
          </w:p>
        </w:tc>
        <w:tc>
          <w:tcPr>
            <w:tcW w:type="dxa" w:w="4320"/>
          </w:tcPr>
          <w:p>
            <w:r>
              <w:t>2026-01-08 — 2026-07-07 (6 мес.)</w:t>
            </w:r>
          </w:p>
        </w:tc>
      </w:tr>
      <w:tr>
        <w:tc>
          <w:tcPr>
            <w:tcW w:type="dxa" w:w="4320"/>
          </w:tcPr>
          <w:p>
            <w:r>
              <w:t>Начальный капитал</w:t>
            </w:r>
          </w:p>
        </w:tc>
        <w:tc>
          <w:tcPr>
            <w:tcW w:type="dxa" w:w="4320"/>
          </w:tcPr>
          <w:p>
            <w:r>
              <w:t>25 USDT</w:t>
            </w:r>
          </w:p>
        </w:tc>
      </w:tr>
      <w:tr>
        <w:tc>
          <w:tcPr>
            <w:tcW w:type="dxa" w:w="4320"/>
          </w:tcPr>
          <w:p>
            <w:r>
              <w:t>Конечный капитал</w:t>
            </w:r>
          </w:p>
        </w:tc>
        <w:tc>
          <w:tcPr>
            <w:tcW w:type="dxa" w:w="4320"/>
          </w:tcPr>
          <w:p>
            <w:r>
              <w:t>33.13 USDT</w:t>
            </w:r>
          </w:p>
        </w:tc>
      </w:tr>
      <w:tr>
        <w:tc>
          <w:tcPr>
            <w:tcW w:type="dxa" w:w="4320"/>
          </w:tcPr>
          <w:p>
            <w:r>
              <w:t>Чистая прибыль</w:t>
            </w:r>
          </w:p>
        </w:tc>
        <w:tc>
          <w:tcPr>
            <w:tcW w:type="dxa" w:w="4320"/>
          </w:tcPr>
          <w:p>
            <w:r>
              <w:t>+8.13 USDT (+32.51%)</w:t>
            </w:r>
          </w:p>
        </w:tc>
      </w:tr>
      <w:tr>
        <w:tc>
          <w:tcPr>
            <w:tcW w:type="dxa" w:w="4320"/>
          </w:tcPr>
          <w:p>
            <w:r>
              <w:t>Максимальная просадка</w:t>
            </w:r>
          </w:p>
        </w:tc>
        <w:tc>
          <w:tcPr>
            <w:tcW w:type="dxa" w:w="4320"/>
          </w:tcPr>
          <w:p>
            <w:r>
              <w:t>23.71%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1.37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1.49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Всего сделок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Прибыльных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Убыточных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</w:tbl>
    <w:p>
      <w:pPr>
        <w:pStyle w:val="Heading1"/>
      </w:pPr>
      <w:r>
        <w:t>8. Результаты по трендам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Тренд</w:t>
            </w:r>
          </w:p>
        </w:tc>
        <w:tc>
          <w:tcPr>
            <w:tcW w:type="dxa" w:w="2880"/>
          </w:tcPr>
          <w:p>
            <w:r>
              <w:t>Сделок</w:t>
            </w:r>
          </w:p>
        </w:tc>
        <w:tc>
          <w:tcPr>
            <w:tcW w:type="dxa" w:w="2880"/>
          </w:tcPr>
          <w:p>
            <w:r>
              <w:t>PnL</w:t>
            </w:r>
          </w:p>
        </w:tc>
      </w:tr>
      <w:tr>
        <w:tc>
          <w:tcPr>
            <w:tcW w:type="dxa" w:w="2880"/>
          </w:tcPr>
          <w:p>
            <w:r>
              <w:t>Восходящий (8% реинвест)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+$4.97</w:t>
            </w:r>
          </w:p>
        </w:tc>
      </w:tr>
      <w:tr>
        <w:tc>
          <w:tcPr>
            <w:tcW w:type="dxa" w:w="2880"/>
          </w:tcPr>
          <w:p>
            <w:r>
              <w:t>Боковой (2% реинвест)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-$8.82</w:t>
            </w:r>
          </w:p>
        </w:tc>
      </w:tr>
      <w:tr>
        <w:tc>
          <w:tcPr>
            <w:tcW w:type="dxa" w:w="2880"/>
          </w:tcPr>
          <w:p>
            <w:r>
              <w:t>Нисходящий (0% реинвест)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+$14.15</w:t>
            </w:r>
          </w:p>
        </w:tc>
      </w:tr>
    </w:tbl>
    <w:p>
      <w:pPr>
        <w:pStyle w:val="Heading1"/>
      </w:pPr>
      <w:r>
        <w:t>9. Файлы проекта</w:t>
      </w:r>
    </w:p>
    <w:p>
      <w:pPr>
        <w:pStyle w:val="ListBullet"/>
      </w:pPr>
      <w:r>
        <w:t>backtest_final_optimized.py — Оптимизированный бэктест</w:t>
      </w:r>
    </w:p>
    <w:p>
      <w:pPr>
        <w:pStyle w:val="ListBullet"/>
      </w:pPr>
      <w:r>
        <w:t>strategy_config.json — Конфигурация стратегии</w:t>
      </w:r>
    </w:p>
    <w:p>
      <w:pPr>
        <w:pStyle w:val="ListBullet"/>
      </w:pPr>
      <w:r>
        <w:t>SkSred.tscript — Визуальный скрипт TSLab</w:t>
      </w:r>
    </w:p>
    <w:p>
      <w:pPr>
        <w:pStyle w:val="ListBullet"/>
      </w:pPr>
      <w:r>
        <w:t>CIRCUIT_BREAKER.md — Документация circuit breaker</w:t>
      </w:r>
    </w:p>
    <w:p>
      <w:pPr>
        <w:pStyle w:val="Heading1"/>
      </w:pPr>
      <w:r>
        <w:t>10. Рекомендации</w:t>
      </w:r>
    </w:p>
    <w:p>
      <w:pPr>
        <w:pStyle w:val="ListBullet"/>
      </w:pPr>
      <w:r>
        <w:t>• Начинать с малого капитала ($5-10) для тестирования</w:t>
      </w:r>
    </w:p>
    <w:p>
      <w:pPr>
        <w:pStyle w:val="ListBullet"/>
      </w:pPr>
      <w:r>
        <w:t>• Мониторить первые 24-48 часов</w:t>
      </w:r>
    </w:p>
    <w:p>
      <w:pPr>
        <w:pStyle w:val="ListBullet"/>
      </w:pPr>
      <w:r>
        <w:t>• Настроить алерты на сделки</w:t>
      </w:r>
    </w:p>
    <w:p>
      <w:pPr>
        <w:pStyle w:val="ListBullet"/>
      </w:pPr>
      <w:r>
        <w:t>• Иметь стоп-лосс на уровне портфеля</w:t>
      </w:r>
    </w:p>
    <w:p>
      <w:pPr>
        <w:pStyle w:val="ListBullet"/>
      </w:pPr>
      <w:r>
        <w:t>• Не превышать плечо 1.7x для контроля просадки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