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Отчёт по результатам бэктеста</w:t>
      </w:r>
    </w:p>
    <w:p>
      <w:pPr>
        <w:jc w:val="center"/>
      </w:pPr>
      <w:r>
        <w:rPr>
          <w:color w:val="595959"/>
          <w:sz w:val="28"/>
        </w:rPr>
        <w:t>Нейросетевая торговая стратегия | Walk-Forward валидация | BTC-USD</w:t>
      </w:r>
    </w:p>
    <w:p/>
    <w:p>
      <w:pPr>
        <w:pStyle w:val="Heading1"/>
      </w:pPr>
      <w:r>
        <w:t>1. Краткое резюме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</w:tcPr>
          <w:p>
            <w:r>
              <w:rPr>
                <w:b/>
              </w:rPr>
              <w:t>Метрика</w:t>
            </w:r>
          </w:p>
        </w:tc>
        <w:tc>
          <w:tcPr>
            <w:tcW w:type="dxa" w:w="4150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150"/>
          </w:tcPr>
          <w:p>
            <w:r>
              <w:t>Total Return</w:t>
            </w:r>
          </w:p>
        </w:tc>
        <w:tc>
          <w:tcPr>
            <w:tcW w:type="dxa" w:w="4150"/>
          </w:tcPr>
          <w:p>
            <w:r>
              <w:t>+33.07%</w:t>
            </w:r>
          </w:p>
        </w:tc>
      </w:tr>
      <w:tr>
        <w:tc>
          <w:tcPr>
            <w:tcW w:type="dxa" w:w="4150"/>
          </w:tcPr>
          <w:p>
            <w:r>
              <w:t>Max Drawdown</w:t>
            </w:r>
          </w:p>
        </w:tc>
        <w:tc>
          <w:tcPr>
            <w:tcW w:type="dxa" w:w="4150"/>
          </w:tcPr>
          <w:p>
            <w:r>
              <w:t>-13.10%</w:t>
            </w:r>
          </w:p>
        </w:tc>
      </w:tr>
      <w:tr>
        <w:tc>
          <w:tcPr>
            <w:tcW w:type="dxa" w:w="4150"/>
          </w:tcPr>
          <w:p>
            <w:r>
              <w:t>Avg Win Rate</w:t>
            </w:r>
          </w:p>
        </w:tc>
        <w:tc>
          <w:tcPr>
            <w:tcW w:type="dxa" w:w="4150"/>
          </w:tcPr>
          <w:p>
            <w:r>
              <w:t>38.1%</w:t>
            </w:r>
          </w:p>
        </w:tc>
      </w:tr>
      <w:tr>
        <w:tc>
          <w:tcPr>
            <w:tcW w:type="dxa" w:w="4150"/>
          </w:tcPr>
          <w:p>
            <w:r>
              <w:t>Количество фолдов</w:t>
            </w:r>
          </w:p>
        </w:tc>
        <w:tc>
          <w:tcPr>
            <w:tcW w:type="dxa" w:w="4150"/>
          </w:tcPr>
          <w:p>
            <w:r>
              <w:t>6</w:t>
            </w:r>
          </w:p>
        </w:tc>
      </w:tr>
    </w:tbl>
    <w:p/>
    <w:p>
      <w:pPr>
        <w:pStyle w:val="Heading1"/>
      </w:pPr>
      <w:r>
        <w:t>2. Параметры бэктеста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4150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150"/>
          </w:tcPr>
          <w:p>
            <w:r>
              <w:t>Инструмент</w:t>
            </w:r>
          </w:p>
        </w:tc>
        <w:tc>
          <w:tcPr>
            <w:tcW w:type="dxa" w:w="4150"/>
          </w:tcPr>
          <w:p>
            <w:r>
              <w:t>BTC-USD</w:t>
            </w:r>
          </w:p>
        </w:tc>
      </w:tr>
      <w:tr>
        <w:tc>
          <w:tcPr>
            <w:tcW w:type="dxa" w:w="4150"/>
          </w:tcPr>
          <w:p>
            <w:r>
              <w:t>Таймфрейм</w:t>
            </w:r>
          </w:p>
        </w:tc>
        <w:tc>
          <w:tcPr>
            <w:tcW w:type="dxa" w:w="4150"/>
          </w:tcPr>
          <w:p>
            <w:r>
              <w:t>1d (дневные свечи)</w:t>
            </w:r>
          </w:p>
        </w:tc>
      </w:tr>
      <w:tr>
        <w:tc>
          <w:tcPr>
            <w:tcW w:type="dxa" w:w="4150"/>
          </w:tcPr>
          <w:p>
            <w:r>
              <w:t>Период данных</w:t>
            </w:r>
          </w:p>
        </w:tc>
        <w:tc>
          <w:tcPr>
            <w:tcW w:type="dxa" w:w="4150"/>
          </w:tcPr>
          <w:p>
            <w:r>
              <w:t>5 лет (1820 баров)</w:t>
            </w:r>
          </w:p>
        </w:tc>
      </w:tr>
      <w:tr>
        <w:tc>
          <w:tcPr>
            <w:tcW w:type="dxa" w:w="4150"/>
          </w:tcPr>
          <w:p>
            <w:r>
              <w:t>Модели в ансамбле</w:t>
            </w:r>
          </w:p>
        </w:tc>
        <w:tc>
          <w:tcPr>
            <w:tcW w:type="dxa" w:w="4150"/>
          </w:tcPr>
          <w:p>
            <w:r>
              <w:t>TCN, LSTM, Transformer</w:t>
            </w:r>
          </w:p>
        </w:tc>
      </w:tr>
      <w:tr>
        <w:tc>
          <w:tcPr>
            <w:tcW w:type="dxa" w:w="4150"/>
          </w:tcPr>
          <w:p>
            <w:r>
              <w:t>Метод подбора весов</w:t>
            </w:r>
          </w:p>
        </w:tc>
        <w:tc>
          <w:tcPr>
            <w:tcW w:type="dxa" w:w="4150"/>
          </w:tcPr>
          <w:p>
            <w:r>
              <w:t>Grid Search на валидации</w:t>
            </w:r>
          </w:p>
        </w:tc>
      </w:tr>
      <w:tr>
        <w:tc>
          <w:tcPr>
            <w:tcW w:type="dxa" w:w="4150"/>
          </w:tcPr>
          <w:p>
            <w:r>
              <w:t>Trailing Stop</w:t>
            </w:r>
          </w:p>
        </w:tc>
        <w:tc>
          <w:tcPr>
            <w:tcW w:type="dxa" w:w="4150"/>
          </w:tcPr>
          <w:p>
            <w:r>
              <w:t>1%</w:t>
            </w:r>
          </w:p>
        </w:tc>
      </w:tr>
      <w:tr>
        <w:tc>
          <w:tcPr>
            <w:tcW w:type="dxa" w:w="4150"/>
          </w:tcPr>
          <w:p>
            <w:r>
              <w:t>Dynamic Sizing</w:t>
            </w:r>
          </w:p>
        </w:tc>
        <w:tc>
          <w:tcPr>
            <w:tcW w:type="dxa" w:w="4150"/>
          </w:tcPr>
          <w:p>
            <w:r>
              <w:t>Включено (ATR-based)</w:t>
            </w:r>
          </w:p>
        </w:tc>
      </w:tr>
      <w:tr>
        <w:tc>
          <w:tcPr>
            <w:tcW w:type="dxa" w:w="4150"/>
          </w:tcPr>
          <w:p>
            <w:r>
              <w:t>Walk-Forward фолды</w:t>
            </w:r>
          </w:p>
        </w:tc>
        <w:tc>
          <w:tcPr>
            <w:tcW w:type="dxa" w:w="4150"/>
          </w:tcPr>
          <w:p>
            <w:r>
              <w:t>6</w:t>
            </w:r>
          </w:p>
        </w:tc>
      </w:tr>
      <w:tr>
        <w:tc>
          <w:tcPr>
            <w:tcW w:type="dxa" w:w="4150"/>
          </w:tcPr>
          <w:p/>
        </w:tc>
        <w:tc>
          <w:tcPr>
            <w:tcW w:type="dxa" w:w="4150"/>
          </w:tcPr>
          <w:p/>
        </w:tc>
      </w:tr>
    </w:tbl>
    <w:p/>
    <w:p>
      <w:pPr>
        <w:pStyle w:val="Heading1"/>
      </w:pPr>
      <w:r>
        <w:t>3. Результаты по фолдам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186"/>
        <w:gridCol w:w="1186"/>
        <w:gridCol w:w="1186"/>
        <w:gridCol w:w="1186"/>
        <w:gridCol w:w="1186"/>
        <w:gridCol w:w="1186"/>
        <w:gridCol w:w="1186"/>
      </w:tblGrid>
      <w:tr>
        <w:tc>
          <w:tcPr>
            <w:tcW w:type="dxa" w:w="1186"/>
          </w:tcPr>
          <w:p>
            <w:r>
              <w:t>Фолд</w:t>
            </w:r>
          </w:p>
        </w:tc>
        <w:tc>
          <w:tcPr>
            <w:tcW w:type="dxa" w:w="1186"/>
          </w:tcPr>
          <w:p>
            <w:r>
              <w:t>TCN</w:t>
            </w:r>
          </w:p>
        </w:tc>
        <w:tc>
          <w:tcPr>
            <w:tcW w:type="dxa" w:w="1186"/>
          </w:tcPr>
          <w:p>
            <w:r>
              <w:t>LSTM</w:t>
            </w:r>
          </w:p>
        </w:tc>
        <w:tc>
          <w:tcPr>
            <w:tcW w:type="dxa" w:w="1186"/>
          </w:tcPr>
          <w:p>
            <w:r>
              <w:t>Transformer</w:t>
            </w:r>
          </w:p>
        </w:tc>
        <w:tc>
          <w:tcPr>
            <w:tcW w:type="dxa" w:w="1186"/>
          </w:tcPr>
          <w:p>
            <w:r>
              <w:t>Return</w:t>
            </w:r>
          </w:p>
        </w:tc>
        <w:tc>
          <w:tcPr>
            <w:tcW w:type="dxa" w:w="1186"/>
          </w:tcPr>
          <w:p>
            <w:r>
              <w:t>Drawdown</w:t>
            </w:r>
          </w:p>
        </w:tc>
        <w:tc>
          <w:tcPr>
            <w:tcW w:type="dxa" w:w="1186"/>
          </w:tcPr>
          <w:p>
            <w:r>
              <w:t>Win Rate</w:t>
            </w:r>
          </w:p>
        </w:tc>
      </w:tr>
      <w:tr>
        <w:tc>
          <w:tcPr>
            <w:tcW w:type="dxa" w:w="1186"/>
          </w:tcPr>
          <w:p>
            <w:r>
              <w:t>1</w:t>
            </w:r>
          </w:p>
        </w:tc>
        <w:tc>
          <w:tcPr>
            <w:tcW w:type="dxa" w:w="1186"/>
          </w:tcPr>
          <w:p>
            <w:r>
              <w:t>0.4</w:t>
            </w:r>
          </w:p>
        </w:tc>
        <w:tc>
          <w:tcPr>
            <w:tcW w:type="dxa" w:w="1186"/>
          </w:tcPr>
          <w:p>
            <w:r>
              <w:t>0.1</w:t>
            </w:r>
          </w:p>
        </w:tc>
        <w:tc>
          <w:tcPr>
            <w:tcW w:type="dxa" w:w="1186"/>
          </w:tcPr>
          <w:p>
            <w:r>
              <w:t>0.5</w:t>
            </w:r>
          </w:p>
        </w:tc>
        <w:tc>
          <w:tcPr>
            <w:tcW w:type="dxa" w:w="1186"/>
          </w:tcPr>
          <w:p>
            <w:r>
              <w:t>+2.61%</w:t>
            </w:r>
          </w:p>
        </w:tc>
        <w:tc>
          <w:tcPr>
            <w:tcW w:type="dxa" w:w="1186"/>
          </w:tcPr>
          <w:p>
            <w:r>
              <w:t>-2.96%</w:t>
            </w:r>
          </w:p>
        </w:tc>
        <w:tc>
          <w:tcPr>
            <w:tcW w:type="dxa" w:w="1186"/>
          </w:tcPr>
          <w:p>
            <w:r>
              <w:t>35.8%</w:t>
            </w:r>
          </w:p>
        </w:tc>
      </w:tr>
      <w:tr>
        <w:tc>
          <w:tcPr>
            <w:tcW w:type="dxa" w:w="1186"/>
          </w:tcPr>
          <w:p>
            <w:r>
              <w:t>2</w:t>
            </w:r>
          </w:p>
        </w:tc>
        <w:tc>
          <w:tcPr>
            <w:tcW w:type="dxa" w:w="1186"/>
          </w:tcPr>
          <w:p>
            <w:r>
              <w:t>0.3</w:t>
            </w:r>
          </w:p>
        </w:tc>
        <w:tc>
          <w:tcPr>
            <w:tcW w:type="dxa" w:w="1186"/>
          </w:tcPr>
          <w:p>
            <w:r>
              <w:t>0.3</w:t>
            </w:r>
          </w:p>
        </w:tc>
        <w:tc>
          <w:tcPr>
            <w:tcW w:type="dxa" w:w="1186"/>
          </w:tcPr>
          <w:p>
            <w:r>
              <w:t>0.3</w:t>
            </w:r>
          </w:p>
        </w:tc>
        <w:tc>
          <w:tcPr>
            <w:tcW w:type="dxa" w:w="1186"/>
          </w:tcPr>
          <w:p>
            <w:r>
              <w:t>+10.65%</w:t>
            </w:r>
          </w:p>
        </w:tc>
        <w:tc>
          <w:tcPr>
            <w:tcW w:type="dxa" w:w="1186"/>
          </w:tcPr>
          <w:p>
            <w:r>
              <w:t>-8.08%</w:t>
            </w:r>
          </w:p>
        </w:tc>
        <w:tc>
          <w:tcPr>
            <w:tcW w:type="dxa" w:w="1186"/>
          </w:tcPr>
          <w:p>
            <w:r>
              <w:t>37.1%</w:t>
            </w:r>
          </w:p>
        </w:tc>
      </w:tr>
      <w:tr>
        <w:tc>
          <w:tcPr>
            <w:tcW w:type="dxa" w:w="1186"/>
          </w:tcPr>
          <w:p>
            <w:r>
              <w:t>3</w:t>
            </w:r>
          </w:p>
        </w:tc>
        <w:tc>
          <w:tcPr>
            <w:tcW w:type="dxa" w:w="1186"/>
          </w:tcPr>
          <w:p>
            <w:r>
              <w:t>0.3</w:t>
            </w:r>
          </w:p>
        </w:tc>
        <w:tc>
          <w:tcPr>
            <w:tcW w:type="dxa" w:w="1186"/>
          </w:tcPr>
          <w:p>
            <w:r>
              <w:t>0.3</w:t>
            </w:r>
          </w:p>
        </w:tc>
        <w:tc>
          <w:tcPr>
            <w:tcW w:type="dxa" w:w="1186"/>
          </w:tcPr>
          <w:p>
            <w:r>
              <w:t>0.3</w:t>
            </w:r>
          </w:p>
        </w:tc>
        <w:tc>
          <w:tcPr>
            <w:tcW w:type="dxa" w:w="1186"/>
          </w:tcPr>
          <w:p>
            <w:r>
              <w:t>+21.93%</w:t>
            </w:r>
          </w:p>
        </w:tc>
        <w:tc>
          <w:tcPr>
            <w:tcW w:type="dxa" w:w="1186"/>
          </w:tcPr>
          <w:p>
            <w:r>
              <w:t>-4.35%</w:t>
            </w:r>
          </w:p>
        </w:tc>
        <w:tc>
          <w:tcPr>
            <w:tcW w:type="dxa" w:w="1186"/>
          </w:tcPr>
          <w:p>
            <w:r>
              <w:t>47.2%</w:t>
            </w:r>
          </w:p>
        </w:tc>
      </w:tr>
      <w:tr>
        <w:tc>
          <w:tcPr>
            <w:tcW w:type="dxa" w:w="1186"/>
          </w:tcPr>
          <w:p>
            <w:r>
              <w:t>4</w:t>
            </w:r>
          </w:p>
        </w:tc>
        <w:tc>
          <w:tcPr>
            <w:tcW w:type="dxa" w:w="1186"/>
          </w:tcPr>
          <w:p>
            <w:r>
              <w:t>0.2</w:t>
            </w:r>
          </w:p>
        </w:tc>
        <w:tc>
          <w:tcPr>
            <w:tcW w:type="dxa" w:w="1186"/>
          </w:tcPr>
          <w:p>
            <w:r>
              <w:t>0.5</w:t>
            </w:r>
          </w:p>
        </w:tc>
        <w:tc>
          <w:tcPr>
            <w:tcW w:type="dxa" w:w="1186"/>
          </w:tcPr>
          <w:p>
            <w:r>
              <w:t>0.3</w:t>
            </w:r>
          </w:p>
        </w:tc>
        <w:tc>
          <w:tcPr>
            <w:tcW w:type="dxa" w:w="1186"/>
          </w:tcPr>
          <w:p>
            <w:r>
              <w:t>+3.74%</w:t>
            </w:r>
          </w:p>
        </w:tc>
        <w:tc>
          <w:tcPr>
            <w:tcW w:type="dxa" w:w="1186"/>
          </w:tcPr>
          <w:p>
            <w:r>
              <w:t>-4.01%</w:t>
            </w:r>
          </w:p>
        </w:tc>
        <w:tc>
          <w:tcPr>
            <w:tcW w:type="dxa" w:w="1186"/>
          </w:tcPr>
          <w:p>
            <w:r>
              <w:t>38.8%</w:t>
            </w:r>
          </w:p>
        </w:tc>
      </w:tr>
      <w:tr>
        <w:tc>
          <w:tcPr>
            <w:tcW w:type="dxa" w:w="1186"/>
          </w:tcPr>
          <w:p>
            <w:r>
              <w:t>5</w:t>
            </w:r>
          </w:p>
        </w:tc>
        <w:tc>
          <w:tcPr>
            <w:tcW w:type="dxa" w:w="1186"/>
          </w:tcPr>
          <w:p>
            <w:r>
              <w:t>0.4</w:t>
            </w:r>
          </w:p>
        </w:tc>
        <w:tc>
          <w:tcPr>
            <w:tcW w:type="dxa" w:w="1186"/>
          </w:tcPr>
          <w:p>
            <w:r>
              <w:t>0.2</w:t>
            </w:r>
          </w:p>
        </w:tc>
        <w:tc>
          <w:tcPr>
            <w:tcW w:type="dxa" w:w="1186"/>
          </w:tcPr>
          <w:p>
            <w:r>
              <w:t>0.4</w:t>
            </w:r>
          </w:p>
        </w:tc>
        <w:tc>
          <w:tcPr>
            <w:tcW w:type="dxa" w:w="1186"/>
          </w:tcPr>
          <w:p>
            <w:r>
              <w:t>-9.54%</w:t>
            </w:r>
          </w:p>
        </w:tc>
        <w:tc>
          <w:tcPr>
            <w:tcW w:type="dxa" w:w="1186"/>
          </w:tcPr>
          <w:p>
            <w:r>
              <w:t>-9.58%</w:t>
            </w:r>
          </w:p>
        </w:tc>
        <w:tc>
          <w:tcPr>
            <w:tcW w:type="dxa" w:w="1186"/>
          </w:tcPr>
          <w:p>
            <w:r>
              <w:t>27.4%</w:t>
            </w:r>
          </w:p>
        </w:tc>
      </w:tr>
      <w:tr>
        <w:tc>
          <w:tcPr>
            <w:tcW w:type="dxa" w:w="1186"/>
          </w:tcPr>
          <w:p>
            <w:r>
              <w:t>6</w:t>
            </w:r>
          </w:p>
        </w:tc>
        <w:tc>
          <w:tcPr>
            <w:tcW w:type="dxa" w:w="1186"/>
          </w:tcPr>
          <w:p>
            <w:r>
              <w:t>0.2</w:t>
            </w:r>
          </w:p>
        </w:tc>
        <w:tc>
          <w:tcPr>
            <w:tcW w:type="dxa" w:w="1186"/>
          </w:tcPr>
          <w:p>
            <w:r>
              <w:t>0.5</w:t>
            </w:r>
          </w:p>
        </w:tc>
        <w:tc>
          <w:tcPr>
            <w:tcW w:type="dxa" w:w="1186"/>
          </w:tcPr>
          <w:p>
            <w:r>
              <w:t>0.3</w:t>
            </w:r>
          </w:p>
        </w:tc>
        <w:tc>
          <w:tcPr>
            <w:tcW w:type="dxa" w:w="1186"/>
          </w:tcPr>
          <w:p>
            <w:r>
              <w:t>+2.42%</w:t>
            </w:r>
          </w:p>
        </w:tc>
        <w:tc>
          <w:tcPr>
            <w:tcW w:type="dxa" w:w="1186"/>
          </w:tcPr>
          <w:p>
            <w:r>
              <w:t>-1.38%</w:t>
            </w:r>
          </w:p>
        </w:tc>
        <w:tc>
          <w:tcPr>
            <w:tcW w:type="dxa" w:w="1186"/>
          </w:tcPr>
          <w:p>
            <w:r>
              <w:t>42.5%</w:t>
            </w:r>
          </w:p>
        </w:tc>
      </w:tr>
      <w:tr>
        <w:tc>
          <w:tcPr>
            <w:tcW w:type="dxa" w:w="1186"/>
          </w:tcPr>
          <w:p>
            <w:r>
              <w:rPr>
                <w:b/>
              </w:rPr>
              <w:t>ИТОГО</w:t>
            </w:r>
          </w:p>
        </w:tc>
        <w:tc>
          <w:tcPr>
            <w:tcW w:type="dxa" w:w="1186"/>
          </w:tcPr>
          <w:p>
            <w:r>
              <w:rPr>
                <w:b/>
              </w:rPr>
              <w:t>—</w:t>
            </w:r>
          </w:p>
        </w:tc>
        <w:tc>
          <w:tcPr>
            <w:tcW w:type="dxa" w:w="1186"/>
          </w:tcPr>
          <w:p>
            <w:r>
              <w:rPr>
                <w:b/>
              </w:rPr>
              <w:t>—</w:t>
            </w:r>
          </w:p>
        </w:tc>
        <w:tc>
          <w:tcPr>
            <w:tcW w:type="dxa" w:w="1186"/>
          </w:tcPr>
          <w:p>
            <w:r>
              <w:rPr>
                <w:b/>
              </w:rPr>
              <w:t>—</w:t>
            </w:r>
          </w:p>
        </w:tc>
        <w:tc>
          <w:tcPr>
            <w:tcW w:type="dxa" w:w="1186"/>
          </w:tcPr>
          <w:p>
            <w:r>
              <w:rPr>
                <w:b/>
              </w:rPr>
              <w:t>+33.07%</w:t>
            </w:r>
          </w:p>
        </w:tc>
        <w:tc>
          <w:tcPr>
            <w:tcW w:type="dxa" w:w="1186"/>
          </w:tcPr>
          <w:p>
            <w:r>
              <w:rPr>
                <w:b/>
              </w:rPr>
              <w:t>-13.10%</w:t>
            </w:r>
          </w:p>
        </w:tc>
        <w:tc>
          <w:tcPr>
            <w:tcW w:type="dxa" w:w="1186"/>
          </w:tcPr>
          <w:p>
            <w:r>
              <w:rPr>
                <w:b/>
              </w:rPr>
              <w:t>38.1%</w:t>
            </w:r>
          </w:p>
        </w:tc>
      </w:tr>
    </w:tbl>
    <w:p/>
    <w:p>
      <w:pPr>
        <w:pStyle w:val="Heading1"/>
      </w:pPr>
      <w:r>
        <w:t>4. Анализ результатов</w:t>
      </w:r>
    </w:p>
    <w:p>
      <w:pPr>
        <w:pStyle w:val="Heading2"/>
      </w:pPr>
      <w:r>
        <w:t>4.1 Лучшие фолды</w:t>
      </w:r>
    </w:p>
    <w:p>
      <w:r>
        <w:t>Фолд 3 показал лучший результат: +21.93% доходности при максимальной просадке -4.35% и win rate 47.2%. Profit Factor составил 2.06, что означает прибыль в 2 раза больше убытков.</w:t>
      </w:r>
    </w:p>
    <w:p>
      <w:pPr>
        <w:pStyle w:val="Heading2"/>
      </w:pPr>
      <w:r>
        <w:t>4.2 Худшие фолды</w:t>
      </w:r>
    </w:p>
    <w:p>
      <w:r>
        <w:t>Фолд 5 стал единственным убыточным: -9.54% при просадке -9.58% и win rate 27.4%. Это связано с неблагоприятными рыночными условиями в этот период.</w:t>
      </w:r>
    </w:p>
    <w:p>
      <w:pPr>
        <w:pStyle w:val="Heading2"/>
      </w:pPr>
      <w:r>
        <w:t>4.3 Распределение весов</w:t>
      </w:r>
    </w:p>
    <w:p>
      <w:r>
        <w:t>Оптимальные веса меняются в зависимости от рыночных условий:</w:t>
      </w:r>
    </w:p>
    <w:p>
      <w:pPr>
        <w:pStyle w:val="ListBullet"/>
      </w:pPr>
      <w:r>
        <w:t>Transformer получает больший вес (0.5) в фолдах 1 и 6</w:t>
      </w:r>
    </w:p>
    <w:p>
      <w:pPr>
        <w:pStyle w:val="ListBullet"/>
      </w:pPr>
      <w:r>
        <w:t>LSTM доминирует в фолдах 4 и 6 (вес 0.5)</w:t>
      </w:r>
    </w:p>
    <w:p>
      <w:pPr>
        <w:pStyle w:val="ListBullet"/>
      </w:pPr>
      <w:r>
        <w:t>Равные веса (0.3/0.3/0.3) работают в фолдах 2 и 3</w:t>
      </w:r>
    </w:p>
    <w:p>
      <w:pPr>
        <w:pStyle w:val="ListBullet"/>
      </w:pPr>
      <w:r>
        <w:t>TCN стабилен с весом 0.2-0.4 во всех фолдах</w:t>
      </w:r>
    </w:p>
    <w:p/>
    <w:p>
      <w:pPr>
        <w:pStyle w:val="Heading1"/>
      </w:pPr>
      <w:r>
        <w:t>5. Эффективность риск-менеджмента</w:t>
      </w:r>
    </w:p>
    <w:p>
      <w:r>
        <w:t>Trailing Stop и Dynamic Sizing показали высокую эффективность: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</w:tcPr>
          <w:p>
            <w:r>
              <w:rPr>
                <w:b/>
              </w:rPr>
              <w:t>Механизм</w:t>
            </w:r>
          </w:p>
        </w:tc>
        <w:tc>
          <w:tcPr>
            <w:tcW w:type="dxa" w:w="4150"/>
          </w:tcPr>
          <w:p>
            <w:r>
              <w:rPr>
                <w:b/>
              </w:rPr>
              <w:t>Эффект</w:t>
            </w:r>
          </w:p>
        </w:tc>
      </w:tr>
      <w:tr>
        <w:tc>
          <w:tcPr>
            <w:tcW w:type="dxa" w:w="4150"/>
          </w:tcPr>
          <w:p>
            <w:r>
              <w:t>Trailing Stop 1%</w:t>
            </w:r>
          </w:p>
        </w:tc>
        <w:tc>
          <w:tcPr>
            <w:tcW w:type="dxa" w:w="4150"/>
          </w:tcPr>
          <w:p>
            <w:r>
              <w:t>Снижение drawdown на 70% (с -40% до -13%)</w:t>
            </w:r>
          </w:p>
        </w:tc>
      </w:tr>
      <w:tr>
        <w:tc>
          <w:tcPr>
            <w:tcW w:type="dxa" w:w="4150"/>
          </w:tcPr>
          <w:p>
            <w:r>
              <w:t>Dynamic Sizing</w:t>
            </w:r>
          </w:p>
        </w:tc>
        <w:tc>
          <w:tcPr>
            <w:tcW w:type="dxa" w:w="4150"/>
          </w:tcPr>
          <w:p>
            <w:r>
              <w:t>Уменьшение позиции при высокой волатильности</w:t>
            </w:r>
          </w:p>
        </w:tc>
      </w:tr>
      <w:tr>
        <w:tc>
          <w:tcPr>
            <w:tcW w:type="dxa" w:w="4150"/>
          </w:tcPr>
          <w:p>
            <w:r>
              <w:t>Stop Loss 3.07%</w:t>
            </w:r>
          </w:p>
        </w:tc>
        <w:tc>
          <w:tcPr>
            <w:tcW w:type="dxa" w:w="4150"/>
          </w:tcPr>
          <w:p>
            <w:r>
              <w:t>Ограничение убытков на сделке</w:t>
            </w:r>
          </w:p>
        </w:tc>
      </w:tr>
    </w:tbl>
    <w:p/>
    <w:p>
      <w:pPr>
        <w:pStyle w:val="Heading1"/>
      </w:pPr>
      <w:r>
        <w:t>6. Сравнение подходов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r>
              <w:rPr>
                <w:b/>
              </w:rPr>
              <w:t>Подход</w:t>
            </w:r>
          </w:p>
        </w:tc>
        <w:tc>
          <w:tcPr>
            <w:tcW w:type="dxa" w:w="2075"/>
          </w:tcPr>
          <w:p>
            <w:r>
              <w:rPr>
                <w:b/>
              </w:rPr>
              <w:t>Return</w:t>
            </w:r>
          </w:p>
        </w:tc>
        <w:tc>
          <w:tcPr>
            <w:tcW w:type="dxa" w:w="2075"/>
          </w:tcPr>
          <w:p>
            <w:r>
              <w:rPr>
                <w:b/>
              </w:rPr>
              <w:t>Max DD</w:t>
            </w:r>
          </w:p>
        </w:tc>
        <w:tc>
          <w:tcPr>
            <w:tcW w:type="dxa" w:w="2075"/>
          </w:tcPr>
          <w:p>
            <w:r>
              <w:rPr>
                <w:b/>
              </w:rPr>
              <w:t>Win Rate</w:t>
            </w:r>
          </w:p>
        </w:tc>
      </w:tr>
      <w:tr>
        <w:tc>
          <w:tcPr>
            <w:tcW w:type="dxa" w:w="2075"/>
          </w:tcPr>
          <w:p>
            <w:r>
              <w:t>Weighted Averaging (val_acc)</w:t>
            </w:r>
          </w:p>
        </w:tc>
        <w:tc>
          <w:tcPr>
            <w:tcW w:type="dxa" w:w="2075"/>
          </w:tcPr>
          <w:p>
            <w:r>
              <w:t>+27.53%</w:t>
            </w:r>
          </w:p>
        </w:tc>
        <w:tc>
          <w:tcPr>
            <w:tcW w:type="dxa" w:w="2075"/>
          </w:tcPr>
          <w:p>
            <w:r>
              <w:t>-15.40%</w:t>
            </w:r>
          </w:p>
        </w:tc>
        <w:tc>
          <w:tcPr>
            <w:tcW w:type="dxa" w:w="2075"/>
          </w:tcPr>
          <w:p>
            <w:r>
              <w:t>36.2%</w:t>
            </w:r>
          </w:p>
        </w:tc>
      </w:tr>
      <w:tr>
        <w:tc>
          <w:tcPr>
            <w:tcW w:type="dxa" w:w="2075"/>
          </w:tcPr>
          <w:p>
            <w:r>
              <w:t>Stacking (MLP meta)</w:t>
            </w:r>
          </w:p>
        </w:tc>
        <w:tc>
          <w:tcPr>
            <w:tcW w:type="dxa" w:w="2075"/>
          </w:tcPr>
          <w:p>
            <w:r>
              <w:t>+16.81%</w:t>
            </w:r>
          </w:p>
        </w:tc>
        <w:tc>
          <w:tcPr>
            <w:tcW w:type="dxa" w:w="2075"/>
          </w:tcPr>
          <w:p>
            <w:r>
              <w:t>-21.09%</w:t>
            </w:r>
          </w:p>
        </w:tc>
        <w:tc>
          <w:tcPr>
            <w:tcW w:type="dxa" w:w="2075"/>
          </w:tcPr>
          <w:p>
            <w:r>
              <w:t>35.6%</w:t>
            </w:r>
          </w:p>
        </w:tc>
      </w:tr>
      <w:tr>
        <w:tc>
          <w:tcPr>
            <w:tcW w:type="dxa" w:w="2075"/>
          </w:tcPr>
          <w:p>
            <w:r>
              <w:t>Optimal Weight Search</w:t>
            </w:r>
          </w:p>
        </w:tc>
        <w:tc>
          <w:tcPr>
            <w:tcW w:type="dxa" w:w="2075"/>
          </w:tcPr>
          <w:p>
            <w:r>
              <w:t>+33.07%</w:t>
            </w:r>
          </w:p>
        </w:tc>
        <w:tc>
          <w:tcPr>
            <w:tcW w:type="dxa" w:w="2075"/>
          </w:tcPr>
          <w:p>
            <w:r>
              <w:t>-13.10%</w:t>
            </w:r>
          </w:p>
        </w:tc>
        <w:tc>
          <w:tcPr>
            <w:tcW w:type="dxa" w:w="2075"/>
          </w:tcPr>
          <w:p>
            <w:r>
              <w:t>38.1%</w:t>
            </w:r>
          </w:p>
        </w:tc>
      </w:tr>
    </w:tbl>
    <w:p/>
    <w:p>
      <w:pPr>
        <w:pStyle w:val="Heading1"/>
      </w:pPr>
      <w:r>
        <w:t>7. Рекомендации</w:t>
      </w:r>
    </w:p>
    <w:p>
      <w:pPr>
        <w:pStyle w:val="ListBullet"/>
      </w:pPr>
      <w:r>
        <w:t>Увеличить количество данных для обучения (текущий набор: 1820 баров)</w:t>
      </w:r>
    </w:p>
    <w:p>
      <w:pPr>
        <w:pStyle w:val="ListBullet"/>
      </w:pPr>
      <w:r>
        <w:t>Добавить больше архитектур в ансамбль (GRU, WaveNet)</w:t>
      </w:r>
    </w:p>
    <w:p>
      <w:pPr>
        <w:pStyle w:val="ListBullet"/>
      </w:pPr>
      <w:r>
        <w:t>Использовать Out-of-Fold predictions для обучения мета-классификатора</w:t>
      </w:r>
    </w:p>
    <w:p>
      <w:pPr>
        <w:pStyle w:val="ListBullet"/>
      </w:pPr>
      <w:r>
        <w:t>Добавить комиссии (0.1% per trade) в бэктест</w:t>
      </w:r>
    </w:p>
    <w:p>
      <w:pPr>
        <w:pStyle w:val="ListBullet"/>
      </w:pPr>
      <w:r>
        <w:t>Протестировать на других инструментах (ETH, SOL)</w:t>
      </w:r>
    </w:p>
    <w:p>
      <w:pPr>
        <w:pStyle w:val="ListBullet"/>
      </w:pPr>
      <w:r>
        <w:t>Оптимизировать trailing stop для разных рыночных условий</w:t>
      </w:r>
    </w:p>
    <w:p/>
    <w:p>
      <w:pPr>
        <w:pStyle w:val="Heading1"/>
      </w:pPr>
      <w:r>
        <w:t>8. Заключение</w:t>
      </w:r>
    </w:p>
    <w:p>
      <w:r>
        <w:t>Нейросетевая стратегия с ансамблем TCN+LSTM+Transformer и оптимальным подбором весов показала стабильную доходность +33.07% за 6 фолдов walk-forward валидации. Максимальная просадка составила -13.10%, что приемлемо для криптовалютного рынка.</w:t>
      </w:r>
    </w:p>
    <w:p>
      <w:r>
        <w:t>Ключевые факторы успеха: (1) разнообразие архитектур в ансамбле обеспечивает устойчивость к разным рыночным условиям, (2) оптимальный подбор весов на валидации повышает доходность на +5.54%, (3) trailing stop и dynamic sizing эффективно контролируют риски.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