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Нейросетевая торговая стратегия</w:t>
      </w:r>
    </w:p>
    <w:p>
      <w:pPr>
        <w:jc w:val="center"/>
      </w:pPr>
      <w:r>
        <w:rPr>
          <w:color w:val="595959"/>
          <w:sz w:val="28"/>
        </w:rPr>
        <w:t>Ensemble TCN + LSTM + Transformer с оптимальным подбором весов</w:t>
      </w:r>
    </w:p>
    <w:p/>
    <w:p>
      <w:pPr>
        <w:pStyle w:val="Heading1"/>
      </w:pPr>
      <w:r>
        <w:t>1. Описание проекта</w:t>
      </w:r>
    </w:p>
    <w:p>
      <w:r>
        <w:t>Проект представляет собой нейросетевую торговую стратегию для криптовалют, использующую ансамбль из трёх архитектур: TCN (Temporal Convolutional Network), LSTM (Long Short-Term Memory) и Transformer. Стратегия включает оптимальный подбор весов моделей на валидационной выборке, адаптивный порог сигналов и продвинутый риск-менеджмент с trailing stop и динамическим размером позиции.</w:t>
      </w:r>
    </w:p>
    <w:p>
      <w:pPr>
        <w:pStyle w:val="Heading1"/>
      </w:pPr>
      <w:r>
        <w:t>2. Архитектура системы</w:t>
      </w:r>
    </w:p>
    <w:p>
      <w:pPr>
        <w:pStyle w:val="Heading2"/>
      </w:pPr>
      <w:r>
        <w:t>2.1 Базовые модели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t>Модель</w:t>
            </w:r>
          </w:p>
        </w:tc>
        <w:tc>
          <w:tcPr>
            <w:tcW w:type="dxa" w:w="2767"/>
          </w:tcPr>
          <w:p>
            <w:r>
              <w:t>Описание</w:t>
            </w:r>
          </w:p>
        </w:tc>
        <w:tc>
          <w:tcPr>
            <w:tcW w:type="dxa" w:w="2767"/>
          </w:tcPr>
          <w:p>
            <w:r>
              <w:t>Роль в ансамбле</w:t>
            </w:r>
          </w:p>
        </w:tc>
      </w:tr>
      <w:tr>
        <w:tc>
          <w:tcPr>
            <w:tcW w:type="dxa" w:w="2767"/>
          </w:tcPr>
          <w:p>
            <w:r>
              <w:t>TCN</w:t>
            </w:r>
          </w:p>
        </w:tc>
        <w:tc>
          <w:tcPr>
            <w:tcW w:type="dxa" w:w="2767"/>
          </w:tcPr>
          <w:p>
            <w:r>
              <w:t>Temporal Convolutional Network — свёрточная сеть с дилатированными свёртками</w:t>
            </w:r>
          </w:p>
        </w:tc>
        <w:tc>
          <w:tcPr>
            <w:tcW w:type="dxa" w:w="2767"/>
          </w:tcPr>
          <w:p>
            <w:r>
              <w:t>Лучше для коротких паттернов</w:t>
            </w:r>
          </w:p>
        </w:tc>
      </w:tr>
      <w:tr>
        <w:tc>
          <w:tcPr>
            <w:tcW w:type="dxa" w:w="2767"/>
          </w:tcPr>
          <w:p>
            <w:r>
              <w:t>LSTM</w:t>
            </w:r>
          </w:p>
        </w:tc>
        <w:tc>
          <w:tcPr>
            <w:tcW w:type="dxa" w:w="2767"/>
          </w:tcPr>
          <w:p>
            <w:r>
              <w:t>Long Short-Term Memory — рекуррентная сеть с вентилями</w:t>
            </w:r>
          </w:p>
        </w:tc>
        <w:tc>
          <w:tcPr>
            <w:tcW w:type="dxa" w:w="2767"/>
          </w:tcPr>
          <w:p>
            <w:r>
              <w:t>Лучше для долгосрочных зависимостей</w:t>
            </w:r>
          </w:p>
        </w:tc>
      </w:tr>
      <w:tr>
        <w:tc>
          <w:tcPr>
            <w:tcW w:type="dxa" w:w="2767"/>
          </w:tcPr>
          <w:p>
            <w:r>
              <w:t>Transformer</w:t>
            </w:r>
          </w:p>
        </w:tc>
        <w:tc>
          <w:tcPr>
            <w:tcW w:type="dxa" w:w="2767"/>
          </w:tcPr>
          <w:p>
            <w:r>
              <w:t>Self-attention механизм — параллельная обработка последовательностей</w:t>
            </w:r>
          </w:p>
        </w:tc>
        <w:tc>
          <w:tcPr>
            <w:tcW w:type="dxa" w:w="2767"/>
          </w:tcPr>
          <w:p>
            <w:r>
              <w:t>Лучше для глобальных паттернов</w:t>
            </w:r>
          </w:p>
        </w:tc>
      </w:tr>
    </w:tbl>
    <w:p/>
    <w:p>
      <w:pPr>
        <w:pStyle w:val="Heading2"/>
      </w:pPr>
      <w:r>
        <w:t>2.2 Ансамбль с оптимальными весами</w:t>
      </w:r>
    </w:p>
    <w:p>
      <w:r>
        <w:t>Веса моделей подбираются на валидационной выборке методом grid search по комбинациям [0.1, 0.2, 0.3, 0.4, 0.5] с условием sum=1. Для каждой комбинации считается доходность на val, выбираются веса с максимальным результатом.</w:t>
      </w:r>
    </w:p>
    <w:p>
      <w:pPr>
        <w:pStyle w:val="Heading2"/>
      </w:pPr>
      <w:r>
        <w:t>2.3 Оптимальный порог</w:t>
      </w:r>
    </w:p>
    <w:p>
      <w:r>
        <w:t>Порог вероятности для генерации сигналов подбирается на валидации из набора [0.3, 0.35, 0.4, 0.45, 0.5]. Это позволяет адаптироваться к разным рыночным условиям на каждом фолде.</w:t>
      </w:r>
    </w:p>
    <w:p>
      <w:pPr>
        <w:pStyle w:val="Heading1"/>
      </w:pPr>
      <w:r>
        <w:t>3. Технические индикаторы (60+)</w:t>
      </w:r>
    </w:p>
    <w:p>
      <w:pPr>
        <w:pStyle w:val="Heading2"/>
      </w:pPr>
      <w:r>
        <w:t>3.1 Trend</w:t>
      </w:r>
    </w:p>
    <w:p>
      <w:r>
        <w:t>EMA (10, 20, 50), MACD, ADX, Aroon, Parabolic SAR</w:t>
      </w:r>
    </w:p>
    <w:p>
      <w:pPr>
        <w:pStyle w:val="Heading2"/>
      </w:pPr>
      <w:r>
        <w:t>3.2 Momentum</w:t>
      </w:r>
    </w:p>
    <w:p>
      <w:r>
        <w:t>RSI, Stochastic, Williams %R, CCI, ROC, Momentum, Ultimate Oscillator</w:t>
      </w:r>
    </w:p>
    <w:p>
      <w:pPr>
        <w:pStyle w:val="Heading2"/>
      </w:pPr>
      <w:r>
        <w:t>3.3 Volatility</w:t>
      </w:r>
    </w:p>
    <w:p>
      <w:r>
        <w:t>Bollinger Bands, ATR, Keltner Channel, NATR</w:t>
      </w:r>
    </w:p>
    <w:p>
      <w:pPr>
        <w:pStyle w:val="Heading2"/>
      </w:pPr>
      <w:r>
        <w:t>3.4 Volume</w:t>
      </w:r>
    </w:p>
    <w:p>
      <w:r>
        <w:t>OBV, AD, MFI, Volume SMA, Volume Ratio</w:t>
      </w:r>
    </w:p>
    <w:p>
      <w:pPr>
        <w:pStyle w:val="Heading2"/>
      </w:pPr>
      <w:r>
        <w:t>3.5 Price Patterns</w:t>
      </w:r>
    </w:p>
    <w:p>
      <w:r>
        <w:t>Doji, Hammer, Engulfing, Morning Star, Evening Star</w:t>
      </w:r>
    </w:p>
    <w:p>
      <w:pPr>
        <w:pStyle w:val="Heading1"/>
      </w:pPr>
      <w:r>
        <w:t>4. Результаты Walk-Forward валидации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</w:tcPr>
          <w:p>
            <w:r>
              <w:t>Фолд</w:t>
            </w:r>
          </w:p>
        </w:tc>
        <w:tc>
          <w:tcPr>
            <w:tcW w:type="dxa" w:w="1383"/>
          </w:tcPr>
          <w:p>
            <w:r>
              <w:t>TCN вес</w:t>
            </w:r>
          </w:p>
        </w:tc>
        <w:tc>
          <w:tcPr>
            <w:tcW w:type="dxa" w:w="1383"/>
          </w:tcPr>
          <w:p>
            <w:r>
              <w:t>LSTM вес</w:t>
            </w:r>
          </w:p>
        </w:tc>
        <w:tc>
          <w:tcPr>
            <w:tcW w:type="dxa" w:w="1383"/>
          </w:tcPr>
          <w:p>
            <w:r>
              <w:t>Transformer вес</w:t>
            </w:r>
          </w:p>
        </w:tc>
        <w:tc>
          <w:tcPr>
            <w:tcW w:type="dxa" w:w="1383"/>
          </w:tcPr>
          <w:p>
            <w:r>
              <w:t>Return</w:t>
            </w:r>
          </w:p>
        </w:tc>
        <w:tc>
          <w:tcPr>
            <w:tcW w:type="dxa" w:w="1383"/>
          </w:tcPr>
          <w:p>
            <w:r>
              <w:t>Drawdown</w:t>
            </w:r>
          </w:p>
        </w:tc>
      </w:tr>
      <w:tr>
        <w:tc>
          <w:tcPr>
            <w:tcW w:type="dxa" w:w="1383"/>
          </w:tcPr>
          <w:p>
            <w:r>
              <w:t>1</w:t>
            </w:r>
          </w:p>
        </w:tc>
        <w:tc>
          <w:tcPr>
            <w:tcW w:type="dxa" w:w="1383"/>
          </w:tcPr>
          <w:p>
            <w:r>
              <w:t>0.4</w:t>
            </w:r>
          </w:p>
        </w:tc>
        <w:tc>
          <w:tcPr>
            <w:tcW w:type="dxa" w:w="1383"/>
          </w:tcPr>
          <w:p>
            <w:r>
              <w:t>0.1</w:t>
            </w:r>
          </w:p>
        </w:tc>
        <w:tc>
          <w:tcPr>
            <w:tcW w:type="dxa" w:w="1383"/>
          </w:tcPr>
          <w:p>
            <w:r>
              <w:t>0.5</w:t>
            </w:r>
          </w:p>
        </w:tc>
        <w:tc>
          <w:tcPr>
            <w:tcW w:type="dxa" w:w="1383"/>
          </w:tcPr>
          <w:p>
            <w:r>
              <w:t>+2.61%</w:t>
            </w:r>
          </w:p>
        </w:tc>
        <w:tc>
          <w:tcPr>
            <w:tcW w:type="dxa" w:w="1383"/>
          </w:tcPr>
          <w:p>
            <w:r>
              <w:t>-2.96%</w:t>
            </w:r>
          </w:p>
        </w:tc>
      </w:tr>
      <w:tr>
        <w:tc>
          <w:tcPr>
            <w:tcW w:type="dxa" w:w="1383"/>
          </w:tcPr>
          <w:p>
            <w:r>
              <w:t>2</w:t>
            </w:r>
          </w:p>
        </w:tc>
        <w:tc>
          <w:tcPr>
            <w:tcW w:type="dxa" w:w="1383"/>
          </w:tcPr>
          <w:p>
            <w:r>
              <w:t>0.3</w:t>
            </w:r>
          </w:p>
        </w:tc>
        <w:tc>
          <w:tcPr>
            <w:tcW w:type="dxa" w:w="1383"/>
          </w:tcPr>
          <w:p>
            <w:r>
              <w:t>0.3</w:t>
            </w:r>
          </w:p>
        </w:tc>
        <w:tc>
          <w:tcPr>
            <w:tcW w:type="dxa" w:w="1383"/>
          </w:tcPr>
          <w:p>
            <w:r>
              <w:t>0.3</w:t>
            </w:r>
          </w:p>
        </w:tc>
        <w:tc>
          <w:tcPr>
            <w:tcW w:type="dxa" w:w="1383"/>
          </w:tcPr>
          <w:p>
            <w:r>
              <w:t>+10.65%</w:t>
            </w:r>
          </w:p>
        </w:tc>
        <w:tc>
          <w:tcPr>
            <w:tcW w:type="dxa" w:w="1383"/>
          </w:tcPr>
          <w:p>
            <w:r>
              <w:t>-8.08%</w:t>
            </w:r>
          </w:p>
        </w:tc>
      </w:tr>
      <w:tr>
        <w:tc>
          <w:tcPr>
            <w:tcW w:type="dxa" w:w="1383"/>
          </w:tcPr>
          <w:p>
            <w:r>
              <w:t>3</w:t>
            </w:r>
          </w:p>
        </w:tc>
        <w:tc>
          <w:tcPr>
            <w:tcW w:type="dxa" w:w="1383"/>
          </w:tcPr>
          <w:p>
            <w:r>
              <w:t>0.3</w:t>
            </w:r>
          </w:p>
        </w:tc>
        <w:tc>
          <w:tcPr>
            <w:tcW w:type="dxa" w:w="1383"/>
          </w:tcPr>
          <w:p>
            <w:r>
              <w:t>0.3</w:t>
            </w:r>
          </w:p>
        </w:tc>
        <w:tc>
          <w:tcPr>
            <w:tcW w:type="dxa" w:w="1383"/>
          </w:tcPr>
          <w:p>
            <w:r>
              <w:t>0.3</w:t>
            </w:r>
          </w:p>
        </w:tc>
        <w:tc>
          <w:tcPr>
            <w:tcW w:type="dxa" w:w="1383"/>
          </w:tcPr>
          <w:p>
            <w:r>
              <w:t>+21.93%</w:t>
            </w:r>
          </w:p>
        </w:tc>
        <w:tc>
          <w:tcPr>
            <w:tcW w:type="dxa" w:w="1383"/>
          </w:tcPr>
          <w:p>
            <w:r>
              <w:t>-4.35%</w:t>
            </w:r>
          </w:p>
        </w:tc>
      </w:tr>
      <w:tr>
        <w:tc>
          <w:tcPr>
            <w:tcW w:type="dxa" w:w="1383"/>
          </w:tcPr>
          <w:p>
            <w:r>
              <w:t>4</w:t>
            </w:r>
          </w:p>
        </w:tc>
        <w:tc>
          <w:tcPr>
            <w:tcW w:type="dxa" w:w="1383"/>
          </w:tcPr>
          <w:p>
            <w:r>
              <w:t>0.2</w:t>
            </w:r>
          </w:p>
        </w:tc>
        <w:tc>
          <w:tcPr>
            <w:tcW w:type="dxa" w:w="1383"/>
          </w:tcPr>
          <w:p>
            <w:r>
              <w:t>0.5</w:t>
            </w:r>
          </w:p>
        </w:tc>
        <w:tc>
          <w:tcPr>
            <w:tcW w:type="dxa" w:w="1383"/>
          </w:tcPr>
          <w:p>
            <w:r>
              <w:t>0.3</w:t>
            </w:r>
          </w:p>
        </w:tc>
        <w:tc>
          <w:tcPr>
            <w:tcW w:type="dxa" w:w="1383"/>
          </w:tcPr>
          <w:p>
            <w:r>
              <w:t>+3.74%</w:t>
            </w:r>
          </w:p>
        </w:tc>
        <w:tc>
          <w:tcPr>
            <w:tcW w:type="dxa" w:w="1383"/>
          </w:tcPr>
          <w:p>
            <w:r>
              <w:t>-4.01%</w:t>
            </w:r>
          </w:p>
        </w:tc>
      </w:tr>
      <w:tr>
        <w:tc>
          <w:tcPr>
            <w:tcW w:type="dxa" w:w="1383"/>
          </w:tcPr>
          <w:p>
            <w:r>
              <w:t>5</w:t>
            </w:r>
          </w:p>
        </w:tc>
        <w:tc>
          <w:tcPr>
            <w:tcW w:type="dxa" w:w="1383"/>
          </w:tcPr>
          <w:p>
            <w:r>
              <w:t>0.4</w:t>
            </w:r>
          </w:p>
        </w:tc>
        <w:tc>
          <w:tcPr>
            <w:tcW w:type="dxa" w:w="1383"/>
          </w:tcPr>
          <w:p>
            <w:r>
              <w:t>0.2</w:t>
            </w:r>
          </w:p>
        </w:tc>
        <w:tc>
          <w:tcPr>
            <w:tcW w:type="dxa" w:w="1383"/>
          </w:tcPr>
          <w:p>
            <w:r>
              <w:t>0.4</w:t>
            </w:r>
          </w:p>
        </w:tc>
        <w:tc>
          <w:tcPr>
            <w:tcW w:type="dxa" w:w="1383"/>
          </w:tcPr>
          <w:p>
            <w:r>
              <w:t>-9.54%</w:t>
            </w:r>
          </w:p>
        </w:tc>
        <w:tc>
          <w:tcPr>
            <w:tcW w:type="dxa" w:w="1383"/>
          </w:tcPr>
          <w:p>
            <w:r>
              <w:t>-9.58%</w:t>
            </w:r>
          </w:p>
        </w:tc>
      </w:tr>
      <w:tr>
        <w:tc>
          <w:tcPr>
            <w:tcW w:type="dxa" w:w="1383"/>
          </w:tcPr>
          <w:p>
            <w:r>
              <w:t>6</w:t>
            </w:r>
          </w:p>
        </w:tc>
        <w:tc>
          <w:tcPr>
            <w:tcW w:type="dxa" w:w="1383"/>
          </w:tcPr>
          <w:p>
            <w:r>
              <w:t>0.2</w:t>
            </w:r>
          </w:p>
        </w:tc>
        <w:tc>
          <w:tcPr>
            <w:tcW w:type="dxa" w:w="1383"/>
          </w:tcPr>
          <w:p>
            <w:r>
              <w:t>0.5</w:t>
            </w:r>
          </w:p>
        </w:tc>
        <w:tc>
          <w:tcPr>
            <w:tcW w:type="dxa" w:w="1383"/>
          </w:tcPr>
          <w:p>
            <w:r>
              <w:t>0.3</w:t>
            </w:r>
          </w:p>
        </w:tc>
        <w:tc>
          <w:tcPr>
            <w:tcW w:type="dxa" w:w="1383"/>
          </w:tcPr>
          <w:p>
            <w:r>
              <w:t>+2.42%</w:t>
            </w:r>
          </w:p>
        </w:tc>
        <w:tc>
          <w:tcPr>
            <w:tcW w:type="dxa" w:w="1383"/>
          </w:tcPr>
          <w:p>
            <w:r>
              <w:t>-1.38%</w:t>
            </w:r>
          </w:p>
        </w:tc>
      </w:tr>
      <w:tr>
        <w:tc>
          <w:tcPr>
            <w:tcW w:type="dxa" w:w="1383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1383"/>
          </w:tcPr>
          <w:p>
            <w:r>
              <w:rPr>
                <w:b/>
              </w:rPr>
              <w:t>—</w:t>
            </w:r>
          </w:p>
        </w:tc>
        <w:tc>
          <w:tcPr>
            <w:tcW w:type="dxa" w:w="1383"/>
          </w:tcPr>
          <w:p>
            <w:r>
              <w:rPr>
                <w:b/>
              </w:rPr>
              <w:t>—</w:t>
            </w:r>
          </w:p>
        </w:tc>
        <w:tc>
          <w:tcPr>
            <w:tcW w:type="dxa" w:w="1383"/>
          </w:tcPr>
          <w:p>
            <w:r>
              <w:rPr>
                <w:b/>
              </w:rPr>
              <w:t>—</w:t>
            </w:r>
          </w:p>
        </w:tc>
        <w:tc>
          <w:tcPr>
            <w:tcW w:type="dxa" w:w="1383"/>
          </w:tcPr>
          <w:p>
            <w:r>
              <w:rPr>
                <w:b/>
              </w:rPr>
              <w:t>+33.07%</w:t>
            </w:r>
          </w:p>
        </w:tc>
        <w:tc>
          <w:tcPr>
            <w:tcW w:type="dxa" w:w="1383"/>
          </w:tcPr>
          <w:p>
            <w:r>
              <w:rPr>
                <w:b/>
              </w:rPr>
              <w:t>-13.10%</w:t>
            </w:r>
          </w:p>
        </w:tc>
      </w:tr>
    </w:tbl>
    <w:p/>
    <w:p>
      <w:pPr>
        <w:pStyle w:val="Heading1"/>
      </w:pPr>
      <w:r>
        <w:t>5. Сравнение подходов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t>Подход</w:t>
            </w:r>
          </w:p>
        </w:tc>
        <w:tc>
          <w:tcPr>
            <w:tcW w:type="dxa" w:w="2075"/>
          </w:tcPr>
          <w:p>
            <w:r>
              <w:t>Total Return</w:t>
            </w:r>
          </w:p>
        </w:tc>
        <w:tc>
          <w:tcPr>
            <w:tcW w:type="dxa" w:w="2075"/>
          </w:tcPr>
          <w:p>
            <w:r>
              <w:t>Max DD</w:t>
            </w:r>
          </w:p>
        </w:tc>
        <w:tc>
          <w:tcPr>
            <w:tcW w:type="dxa" w:w="2075"/>
          </w:tcPr>
          <w:p>
            <w:r>
              <w:t>Win Rate</w:t>
            </w:r>
          </w:p>
        </w:tc>
      </w:tr>
      <w:tr>
        <w:tc>
          <w:tcPr>
            <w:tcW w:type="dxa" w:w="2075"/>
          </w:tcPr>
          <w:p>
            <w:r>
              <w:t>Weighted Averaging (val_acc)</w:t>
            </w:r>
          </w:p>
        </w:tc>
        <w:tc>
          <w:tcPr>
            <w:tcW w:type="dxa" w:w="2075"/>
          </w:tcPr>
          <w:p>
            <w:r>
              <w:t>+27.53%</w:t>
            </w:r>
          </w:p>
        </w:tc>
        <w:tc>
          <w:tcPr>
            <w:tcW w:type="dxa" w:w="2075"/>
          </w:tcPr>
          <w:p>
            <w:r>
              <w:t>-15.40%</w:t>
            </w:r>
          </w:p>
        </w:tc>
        <w:tc>
          <w:tcPr>
            <w:tcW w:type="dxa" w:w="2075"/>
          </w:tcPr>
          <w:p>
            <w:r>
              <w:t>36.2%</w:t>
            </w:r>
          </w:p>
        </w:tc>
      </w:tr>
      <w:tr>
        <w:tc>
          <w:tcPr>
            <w:tcW w:type="dxa" w:w="2075"/>
          </w:tcPr>
          <w:p>
            <w:r>
              <w:t>Stacking (MLP meta)</w:t>
            </w:r>
          </w:p>
        </w:tc>
        <w:tc>
          <w:tcPr>
            <w:tcW w:type="dxa" w:w="2075"/>
          </w:tcPr>
          <w:p>
            <w:r>
              <w:t>+16.81%</w:t>
            </w:r>
          </w:p>
        </w:tc>
        <w:tc>
          <w:tcPr>
            <w:tcW w:type="dxa" w:w="2075"/>
          </w:tcPr>
          <w:p>
            <w:r>
              <w:t>-21.09%</w:t>
            </w:r>
          </w:p>
        </w:tc>
        <w:tc>
          <w:tcPr>
            <w:tcW w:type="dxa" w:w="2075"/>
          </w:tcPr>
          <w:p>
            <w:r>
              <w:t>35.6%</w:t>
            </w:r>
          </w:p>
        </w:tc>
      </w:tr>
      <w:tr>
        <w:tc>
          <w:tcPr>
            <w:tcW w:type="dxa" w:w="2075"/>
          </w:tcPr>
          <w:p>
            <w:r>
              <w:t>Optimal Weight Search</w:t>
            </w:r>
          </w:p>
        </w:tc>
        <w:tc>
          <w:tcPr>
            <w:tcW w:type="dxa" w:w="2075"/>
          </w:tcPr>
          <w:p>
            <w:r>
              <w:t>+33.07%</w:t>
            </w:r>
          </w:p>
        </w:tc>
        <w:tc>
          <w:tcPr>
            <w:tcW w:type="dxa" w:w="2075"/>
          </w:tcPr>
          <w:p>
            <w:r>
              <w:t>-13.10%</w:t>
            </w:r>
          </w:p>
        </w:tc>
        <w:tc>
          <w:tcPr>
            <w:tcW w:type="dxa" w:w="2075"/>
          </w:tcPr>
          <w:p>
            <w:r>
              <w:t>38.1%</w:t>
            </w:r>
          </w:p>
        </w:tc>
      </w:tr>
    </w:tbl>
    <w:p/>
    <w:p>
      <w:pPr>
        <w:pStyle w:val="Heading1"/>
      </w:pPr>
      <w:r>
        <w:t>6. Риск-менеджмент</w:t>
      </w:r>
    </w:p>
    <w:p>
      <w:r>
        <w:rPr>
          <w:b/>
        </w:rPr>
        <w:t xml:space="preserve">Stop Loss: </w:t>
      </w:r>
      <w:r>
        <w:t>3.07%</w:t>
      </w:r>
    </w:p>
    <w:p>
      <w:r>
        <w:rPr>
          <w:b/>
        </w:rPr>
        <w:t xml:space="preserve">Take Profit: </w:t>
      </w:r>
      <w:r>
        <w:t>4.54%</w:t>
      </w:r>
    </w:p>
    <w:p>
      <w:r>
        <w:rPr>
          <w:b/>
        </w:rPr>
        <w:t xml:space="preserve">Trailing Stop: </w:t>
      </w:r>
      <w:r>
        <w:t>1%</w:t>
      </w:r>
    </w:p>
    <w:p>
      <w:r>
        <w:rPr>
          <w:b/>
        </w:rPr>
        <w:t xml:space="preserve">Dynamic Sizing: </w:t>
      </w:r>
      <w:r>
        <w:t>Включено (на основе ATR)</w:t>
      </w:r>
    </w:p>
    <w:p>
      <w:r>
        <w:rPr>
          <w:b/>
        </w:rPr>
        <w:t xml:space="preserve">Risk per Trade: </w:t>
      </w:r>
      <w:r>
        <w:t>2% от equity</w:t>
      </w:r>
    </w:p>
    <w:p>
      <w:pPr>
        <w:pStyle w:val="Heading1"/>
      </w:pPr>
      <w:r>
        <w:t>7. Оптимальные параметры</w:t>
      </w:r>
    </w:p>
    <w:p>
      <w:r>
        <w:rPr>
          <w:b/>
        </w:rPr>
        <w:t xml:space="preserve">Model Type: </w:t>
      </w:r>
      <w:r>
        <w:t>TCN / LSTM / Transformer (ансамбль)</w:t>
      </w:r>
    </w:p>
    <w:p>
      <w:r>
        <w:rPr>
          <w:b/>
        </w:rPr>
        <w:t xml:space="preserve">Hidden Size: </w:t>
      </w:r>
      <w:r>
        <w:t>32</w:t>
      </w:r>
    </w:p>
    <w:p>
      <w:r>
        <w:rPr>
          <w:b/>
        </w:rPr>
        <w:t xml:space="preserve">Num Layers: </w:t>
      </w:r>
      <w:r>
        <w:t>1</w:t>
      </w:r>
    </w:p>
    <w:p>
      <w:r>
        <w:rPr>
          <w:b/>
        </w:rPr>
        <w:t xml:space="preserve">Dropout: </w:t>
      </w:r>
      <w:r>
        <w:t>0.395</w:t>
      </w:r>
    </w:p>
    <w:p>
      <w:r>
        <w:rPr>
          <w:b/>
        </w:rPr>
        <w:t xml:space="preserve">Window: </w:t>
      </w:r>
      <w:r>
        <w:t>30</w:t>
      </w:r>
    </w:p>
    <w:p>
      <w:r>
        <w:rPr>
          <w:b/>
        </w:rPr>
        <w:t xml:space="preserve">Batch Size: </w:t>
      </w:r>
      <w:r>
        <w:t>64</w:t>
      </w:r>
    </w:p>
    <w:p>
      <w:r>
        <w:rPr>
          <w:b/>
        </w:rPr>
        <w:t xml:space="preserve">Learning Rate: </w:t>
      </w:r>
      <w:r>
        <w:t>0.000205</w:t>
      </w:r>
    </w:p>
    <w:p>
      <w:r>
        <w:rPr>
          <w:b/>
        </w:rPr>
        <w:t xml:space="preserve">N Models: </w:t>
      </w:r>
      <w:r>
        <w:t>3</w:t>
      </w:r>
    </w:p>
    <w:p>
      <w:r>
        <w:rPr>
          <w:b/>
        </w:rPr>
        <w:t xml:space="preserve">Ensemble Method: </w:t>
      </w:r>
      <w:r>
        <w:t>Optimal Weight Search</w:t>
      </w:r>
    </w:p>
    <w:p>
      <w:pPr>
        <w:pStyle w:val="Heading1"/>
      </w:pPr>
      <w:r>
        <w:t>8. Заключение</w:t>
      </w:r>
    </w:p>
    <w:p>
      <w:r>
        <w:t>Нейросетевая стратегия с ансамблем TCN+LSTM+Transformer и оптимальным подбором весов показала доходность +33.07% за 6 фолдов walk-forward валидации при максимальном просадке -13.10%. Оптимальный подбор весов обеспечил улучшение на +5.54% по доходности и -2.3% по drawdown по сравнению с простым взвешиванием по accuracy.</w:t>
      </w:r>
    </w:p>
    <w:p>
      <w:r>
        <w:t>Ключевые факторы успеха: (1) разнообразие архитектур в ансамбле, (2) подбор весов на валидации, (3) адаптивный порог сигналов, (4) trailing stop + dynamic sizing для риск-менеджмента.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