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Data Preprocessing Report</w:t>
      </w:r>
    </w:p>
    <w:p>
      <w:pPr>
        <w:spacing w:after="300"/>
        <w:jc w:val="center"/>
      </w:pPr>
      <w:r>
        <w:rPr>
          <w:i/>
          <w:iCs/>
        </w:rPr>
        <w:t xml:space="preserve">Feature Engineering &amp; Data Preprocessing for Machine Learning, ABC Manufacturing Ltd</w:t>
      </w:r>
    </w:p>
    <w:p>
      <w:pPr>
        <w:spacing w:after="400"/>
        <w:jc w:val="center"/>
      </w:pPr>
      <w:r>
        <w:rPr>
          <w:sz w:val="20"/>
          <w:szCs w:val="20"/>
        </w:rPr>
        <w:t xml:space="preserve">Prepared by: Priscilla Arhin | AnalystLab Africa, Data Science Internship Programme | Week 2</w:t>
      </w:r>
    </w:p>
    <w:p>
      <w:pPr>
        <w:pStyle w:val="Heading2"/>
        <w:spacing w:before="300"/>
      </w:pPr>
      <w:r>
        <w:t xml:space="preserve">1. Overview</w:t>
      </w:r>
    </w:p>
    <w:p>
      <w:pPr>
        <w:spacing w:after="150"/>
      </w:pPr>
      <w:r>
        <w:t xml:space="preserve">This report documents the preprocessing pipeline applied to the IBM HR Analytics dataset following the Week 1 exploratory analysis, transforming the raw 1,470 × 35 dataset into a fully machine-learning-ready dataset. The pipeline proceeds through four stages: cleaning, feature engineering, encoding, and scaling.</w:t>
      </w:r>
    </w:p>
    <w:p>
      <w:pPr>
        <w:pStyle w:val="Heading2"/>
        <w:spacing w:before="300"/>
      </w:pPr>
      <w:r>
        <w:t xml:space="preserve">2. Pipeline Summary</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c>
            <w:tcPr>
              <w:tcW w:type="dxa" w:w="3000"/>
              <w:shd w:fill="D9E2F3" w:val="clear"/>
            </w:tcPr>
            <w:p>
              <w:r>
                <w:rPr>
                  <w:b/>
                  <w:bCs/>
                </w:rPr>
                <w:t xml:space="preserve">Stage</w:t>
              </w:r>
            </w:p>
          </w:tc>
          <w:tc>
            <w:tcPr>
              <w:tcW w:type="dxa" w:w="2000"/>
              <w:shd w:fill="D9E2F3" w:val="clear"/>
            </w:tcPr>
            <w:p>
              <w:r>
                <w:rPr>
                  <w:b/>
                  <w:bCs/>
                </w:rPr>
                <w:t xml:space="preserve">Shape</w:t>
              </w:r>
            </w:p>
          </w:tc>
          <w:tc>
            <w:tcPr>
              <w:tcW w:type="dxa" w:w="4500"/>
              <w:shd w:fill="D9E2F3" w:val="clear"/>
            </w:tcPr>
            <w:p>
              <w:r>
                <w:rPr>
                  <w:b/>
                  <w:bCs/>
                </w:rPr>
                <w:t xml:space="preserve">Notes</w:t>
              </w:r>
            </w:p>
          </w:tc>
        </w:tr>
        <w:tr>
          <w:tc>
            <w:tcPr>
              <w:tcW w:type="dxa" w:w="3000"/>
            </w:tcPr>
            <w:p>
              <w:r>
                <w:t xml:space="preserve">Raw dataset</w:t>
              </w:r>
            </w:p>
          </w:tc>
          <w:tc>
            <w:tcPr>
              <w:tcW w:type="dxa" w:w="2000"/>
            </w:tcPr>
            <w:p>
              <w:r>
                <w:t xml:space="preserve">1470 × 35</w:t>
              </w:r>
            </w:p>
          </w:tc>
          <w:tc>
            <w:tcPr>
              <w:tcW w:type="dxa" w:w="4500"/>
            </w:tcPr>
            <w:p>
              <w:r>
                <w:t xml:space="preserve">As downloaded from Kaggle</w:t>
              </w:r>
            </w:p>
          </w:tc>
        </w:tr>
        <w:tr>
          <w:tc>
            <w:tcPr>
              <w:tcW w:type="dxa" w:w="3000"/>
            </w:tcPr>
            <w:p>
              <w:r>
                <w:t xml:space="preserve">Cleaned dataset</w:t>
              </w:r>
            </w:p>
          </w:tc>
          <w:tc>
            <w:tcPr>
              <w:tcW w:type="dxa" w:w="2000"/>
            </w:tcPr>
            <w:p>
              <w:r>
                <w:t xml:space="preserve">1470 × 31</w:t>
              </w:r>
            </w:p>
          </w:tc>
          <w:tc>
            <w:tcPr>
              <w:tcW w:type="dxa" w:w="4500"/>
            </w:tcPr>
            <w:p>
              <w:r>
                <w:t xml:space="preserve">Dropped 3 constant columns + 1 ID column</w:t>
              </w:r>
            </w:p>
          </w:tc>
        </w:tr>
        <w:tr>
          <w:tc>
            <w:tcPr>
              <w:tcW w:type="dxa" w:w="3000"/>
            </w:tcPr>
            <w:p>
              <w:r>
                <w:t xml:space="preserve">Feature-engineered</w:t>
              </w:r>
            </w:p>
          </w:tc>
          <w:tc>
            <w:tcPr>
              <w:tcW w:type="dxa" w:w="2000"/>
            </w:tcPr>
            <w:p>
              <w:r>
                <w:t xml:space="preserve">1470 × 36</w:t>
              </w:r>
            </w:p>
          </w:tc>
          <w:tc>
            <w:tcPr>
              <w:tcW w:type="dxa" w:w="4500"/>
            </w:tcPr>
            <w:p>
              <w:r>
                <w:t xml:space="preserve">Added 5 new derived features</w:t>
              </w:r>
            </w:p>
          </w:tc>
        </w:tr>
        <w:tr>
          <w:tc>
            <w:tcPr>
              <w:tcW w:type="dxa" w:w="3000"/>
            </w:tcPr>
            <w:p>
              <w:r>
                <w:t xml:space="preserve">ML-ready (final)</w:t>
              </w:r>
            </w:p>
          </w:tc>
          <w:tc>
            <w:tcPr>
              <w:tcW w:type="dxa" w:w="2000"/>
            </w:tcPr>
            <w:p>
              <w:r>
                <w:t xml:space="preserve">1470 × 53</w:t>
              </w:r>
            </w:p>
          </w:tc>
          <w:tc>
            <w:tcPr>
              <w:tcW w:type="dxa" w:w="4500"/>
            </w:tcPr>
            <w:p>
              <w:r>
                <w:t xml:space="preserve">One-hot encoding expanded categoricals; numeric features standardised</w:t>
              </w:r>
            </w:p>
          </w:tc>
        </w:tr>
      </w:tbl>
    </w:p>
    <w:p/>
    <w:p>
      <w:pPr>
        <w:pStyle w:val="Heading2"/>
        <w:spacing w:before="300"/>
      </w:pPr>
      <w:r>
        <w:t xml:space="preserve">3. Data Cleaning</w:t>
      </w:r>
    </w:p>
    <w:p>
      <w:pPr>
        <w:spacing w:after="150"/>
      </w:pPr>
      <w:r>
        <w:t xml:space="preserve">The dataset was re-verified as containing zero missing values and zero duplicate rows, consistent with the Week 1 inspection. Four columns were dropped:</w:t>
      </w:r>
    </w:p>
    <w:p>
      <w:pPr>
        <w:spacing w:after="80"/>
      </w:pPr>
      <w:r>
        <w:t xml:space="preserve">•  EmployeeCount, constant value of 1 across all employees</w:t>
      </w:r>
    </w:p>
    <w:p>
      <w:pPr>
        <w:spacing w:after="80"/>
      </w:pPr>
      <w:r>
        <w:t xml:space="preserve">•  Over18, constant value of "Y" across all employees</w:t>
      </w:r>
    </w:p>
    <w:p>
      <w:pPr>
        <w:spacing w:after="80"/>
      </w:pPr>
      <w:r>
        <w:t xml:space="preserve">•  StandardHours, constant value of 80 across all employees</w:t>
      </w:r>
    </w:p>
    <w:p>
      <w:pPr>
        <w:spacing w:after="80"/>
      </w:pPr>
      <w:r>
        <w:t xml:space="preserve">•  EmployeeNumber, a unique identifier with no predictive value</w:t>
      </w:r>
    </w:p>
    <w:p>
      <w:pPr>
        <w:spacing w:after="150"/>
      </w:pPr>
      <w:r>
        <w:t xml:space="preserve">None of these carry information that varies across employees, so retaining them would add noise without predictive benefit.</w:t>
      </w:r>
    </w:p>
    <w:p>
      <w:pPr>
        <w:pStyle w:val="Heading2"/>
        <w:spacing w:before="300"/>
      </w:pPr>
      <w:r>
        <w:t xml:space="preserve">4. Feature Engineering</w:t>
      </w:r>
    </w:p>
    <w:p>
      <w:pPr>
        <w:spacing w:after="150"/>
      </w:pPr>
      <w:r>
        <w:t xml:space="preserve">Five new features were derived from existing columns, each grounded in relationships identified during the Week 1 exploratory analysis:</w:t>
      </w:r>
    </w:p>
    <w:p>
      <w:pPr>
        <w:spacing w:after="60" w:before="150"/>
      </w:pPr>
      <w:r>
        <w:rPr>
          <w:b/>
          <w:bCs/>
        </w:rPr>
        <w:t xml:space="preserve">AverageSatisfaction</w:t>
      </w:r>
    </w:p>
    <w:p>
      <w:pPr>
        <w:spacing w:after="150"/>
      </w:pPr>
      <w:r>
        <w:t xml:space="preserve">The mean of EnvironmentSatisfaction, JobSatisfaction, RelationshipSatisfaction, and WorkLifeBalance. These four ordinal scores are conceptually related; combining them into a single composite reduces redundancy while preserving the overall satisfaction signal.</w:t>
      </w:r>
    </w:p>
    <w:p>
      <w:pPr>
        <w:spacing w:after="60" w:before="150"/>
      </w:pPr>
      <w:r>
        <w:rPr>
          <w:b/>
          <w:bCs/>
        </w:rPr>
        <w:t xml:space="preserve">TenureRatio</w:t>
      </w:r>
    </w:p>
    <w:p>
      <w:pPr>
        <w:spacing w:after="150"/>
      </w:pPr>
      <w:r>
        <w:t xml:space="preserve">YearsAtCompany divided by TotalWorkingYears (guarded against division by zero for employees new to the workforce). This captures loyalty and stability more directly than either raw figure alone, two employees with the same YearsAtCompany can have very different implications depending on their total career length.</w:t>
      </w:r>
    </w:p>
    <w:p>
      <w:pPr>
        <w:spacing w:after="60" w:before="150"/>
      </w:pPr>
      <w:r>
        <w:rPr>
          <w:b/>
          <w:bCs/>
        </w:rPr>
        <w:t xml:space="preserve">IncomePerExperienceYear</w:t>
      </w:r>
    </w:p>
    <w:p>
      <w:pPr>
        <w:spacing w:after="150"/>
      </w:pPr>
      <w:r>
        <w:t xml:space="preserve">MonthlyIncome divided by TotalWorkingYears, a rough proxy for whether an employee's pay reflects their experience level, directly relevant given Week 1's finding that low income is strongly associated with attrition.</w:t>
      </w:r>
    </w:p>
    <w:p>
      <w:pPr>
        <w:spacing w:after="60" w:before="150"/>
      </w:pPr>
      <w:r>
        <w:rPr>
          <w:b/>
          <w:bCs/>
        </w:rPr>
        <w:t xml:space="preserve">AgeGroup</w:t>
      </w:r>
    </w:p>
    <w:p>
      <w:pPr>
        <w:spacing w:after="150"/>
      </w:pPr>
      <w:r>
        <w:t xml:space="preserve">Age was binned into the same five brackets used in Week 1 (18-25, 26-35, 36-45, 46-55, 56-60), since attrition risk was shown to follow a non-linear, U-shaped pattern across age rather than a smooth linear trend, which a single numeric Age feature alone would not capture as explicitly for tree-free models.</w:t>
      </w:r>
    </w:p>
    <w:p>
      <w:pPr>
        <w:spacing w:after="60" w:before="150"/>
      </w:pPr>
      <w:r>
        <w:rPr>
          <w:b/>
          <w:bCs/>
        </w:rPr>
        <w:t xml:space="preserve">PromotionStagnationRatio</w:t>
      </w:r>
    </w:p>
    <w:p>
      <w:pPr>
        <w:spacing w:after="150"/>
      </w:pPr>
      <w:r>
        <w:t xml:space="preserve">YearsSinceLastPromotion divided by YearsAtCompany, flagging employees who may feel overlooked for advancement relative to their tenure.</w:t>
      </w:r>
    </w:p>
    <w:p>
      <w:pPr>
        <w:pStyle w:val="Heading2"/>
        <w:spacing w:before="300"/>
      </w:pPr>
      <w:r>
        <w:t xml:space="preserve">5. Encoding</w:t>
      </w:r>
    </w:p>
    <w:p>
      <w:pPr>
        <w:spacing w:after="150"/>
      </w:pPr>
      <w:r>
        <w:t xml:space="preserve">Three binary categorical columns (Attrition, OverTime, Gender) were mapped directly to 0/1. Six nominal categorical columns with no inherent order (BusinessTravel, Department, EducationField, JobRole, MaritalStatus, and the newly created AgeGroup) were one-hot encoded, with the first category of each dropped to avoid perfectly collinear (redundant) columns. This expanded the dataset from 36 to 53 columns, all fully numeric.</w:t>
      </w:r>
    </w:p>
    <w:p>
      <w:pPr>
        <w:pStyle w:val="Heading2"/>
        <w:spacing w:before="300"/>
      </w:pPr>
      <w:r>
        <w:t xml:space="preserve">6. Scaling</w:t>
      </w:r>
    </w:p>
    <w:p>
      <w:pPr>
        <w:spacing w:after="150"/>
      </w:pPr>
      <w:r>
        <w:t xml:space="preserve">All numeric, non-binary columns were standardised using scikit-learn's StandardScaler, transforming each to a mean of 0 and standard deviation of 1. This step matters because features originally spanned very different ranges, for example MonthlyIncome (hundreds to thousands) versus Education (1-5), and many machine learning algorithms (e.g. logistic regression, k-nearest neighbours, support vector machines, neural networks) are sensitive to this kind of scale imbalance, allowing large-magnitude features to dominate the model regardless of true importance. Binary (0/1) columns and the target variable Attrition were left unscaled, since scaling binary indicators does not add meaning.</w:t>
      </w:r>
    </w:p>
    <w:p>
      <w:pPr>
        <w:pStyle w:val="Heading2"/>
        <w:spacing w:before="300"/>
      </w:pPr>
      <w:r>
        <w:t xml:space="preserve">7. Output</w:t>
      </w:r>
    </w:p>
    <w:p>
      <w:pPr>
        <w:spacing w:after="150"/>
      </w:pPr>
      <w:r>
        <w:t xml:space="preserve">Two datasets were produced:</w:t>
      </w:r>
    </w:p>
    <w:p>
      <w:pPr>
        <w:spacing w:after="80"/>
      </w:pPr>
      <w:r>
        <w:t xml:space="preserve">•  cleaned_dataset.csv (1470 × 31), cleaned but still human-readable, with original categorical text values intact, suitable for further exploration.</w:t>
      </w:r>
    </w:p>
    <w:p>
      <w:pPr>
        <w:spacing w:after="80"/>
      </w:pPr>
      <w:r>
        <w:t xml:space="preserve">•  ml_ready_dataset.csv (1470 × 53), fully numeric, encoded, and scaled, ready for direct use in Week 3 model training.</w:t>
      </w:r>
    </w:p>
    <w:p>
      <w:pPr>
        <w:spacing w:after="150"/>
      </w:pPr>
      <w:r>
        <w:t xml:space="preserve">Both datasets, along with the full preprocessing code, are provided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2026-08-16T11:15:29.066Z</dcterms:created>
  <dcterms:modified xsi:type="dcterms:W3CDTF">2026-08-16T11:15:29.066Z</dcterms:modified>
</cp:coreProperties>
</file>

<file path=docProps/custom.xml><?xml version="1.0" encoding="utf-8"?>
<Properties xmlns="http://schemas.openxmlformats.org/officeDocument/2006/custom-properties" xmlns:vt="http://schemas.openxmlformats.org/officeDocument/2006/docPropsVTypes"/>
</file>