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Business Understanding Report, Week 2</w:t>
      </w:r>
    </w:p>
    <w:p>
      <w:pPr>
        <w:spacing w:after="300"/>
        <w:jc w:val="center"/>
      </w:pPr>
      <w:r>
        <w:rPr>
          <w:i/>
          <w:iCs/>
        </w:rPr>
        <w:t xml:space="preserve">Feature Engineering &amp; Data Preprocessing for Machine Learning, ABC Manufacturing Ltd</w:t>
      </w:r>
    </w:p>
    <w:p>
      <w:pPr>
        <w:spacing w:after="400"/>
        <w:jc w:val="center"/>
      </w:pPr>
      <w:r>
        <w:rPr>
          <w:sz w:val="20"/>
          <w:szCs w:val="20"/>
        </w:rPr>
        <w:t xml:space="preserve">Prepared by: Priscilla Arhin | AnalystLab Africa, Data Science Internship Programme | Week 2</w:t>
      </w:r>
    </w:p>
    <w:p>
      <w:pPr>
        <w:pStyle w:val="Heading2"/>
        <w:spacing w:before="300"/>
      </w:pPr>
      <w:r>
        <w:t xml:space="preserve">1. From Exploration to Preparation</w:t>
      </w:r>
    </w:p>
    <w:p>
      <w:pPr>
        <w:spacing w:after="200"/>
      </w:pPr>
      <w:r>
        <w:t xml:space="preserve">Week 1 established that ABC Manufacturing Ltd's attrition is not random, but concentrated among identifiable groups: employees who work overtime, those in the lowest income quartile, younger employees (18-25), and specific roles such as Sales Representative. Having established what the data shows descriptively, the next step towards a predictive model is preparing that same data so a machine learning algorithm can actually use it. Raw data, as collected, is rarely usable directly: it contains identifier columns with no predictive value, categorical text values that algorithms cannot interpret numerically, and features on wildly different numeric scales. This phase addresses exactly that gap.</w:t>
      </w:r>
    </w:p>
    <w:p>
      <w:pPr>
        <w:pStyle w:val="Heading2"/>
        <w:spacing w:before="300"/>
      </w:pPr>
      <w:r>
        <w:t xml:space="preserve">2. Why Preprocessing Matters for This Engagement</w:t>
      </w:r>
    </w:p>
    <w:p>
      <w:pPr>
        <w:spacing w:after="200"/>
      </w:pPr>
      <w:r>
        <w:t xml:space="preserve">Machine learning algorithms operate on numbers, not labels, and are sensitive to the scale and structure of their inputs. A column like Department, stored as text ("Sales", "Research &amp; Development", "Human Resources"), must be converted into a numeric representation before any algorithm can use it. Similarly, a column like MonthlyIncome (ranging into the thousands) and a column like Education (ranging 1-5) sit on very different scales; left unscaled, many algorithms would let the larger-magnitude feature dominate the model's decisions regardless of its actual importance. Preprocessing is what makes the difference between a dataset that merely describes the business problem and one that can be used to predict it.</w:t>
      </w:r>
    </w:p>
    <w:p>
      <w:pPr>
        <w:pStyle w:val="Heading2"/>
        <w:spacing w:before="300"/>
      </w:pPr>
      <w:r>
        <w:t xml:space="preserve">3. Feature Engineering as Applied Business Understanding</w:t>
      </w:r>
    </w:p>
    <w:p>
      <w:pPr>
        <w:spacing w:after="200"/>
      </w:pPr>
      <w:r>
        <w:t xml:space="preserve">Feature engineering is not a purely technical step; it is where the business insights from Week 1 are translated into a form a model can learn from. Rather than only feeding raw columns into a model, new features were derived specifically to capture patterns already identified as meaningful: a composite satisfaction score (since four separate satisfaction fields were shown to move together), a tenure ratio capturing loyalty relative to total career length, an income-per-experience-year ratio addressing whether pay reflects experience, age brackets reflecting the non-linear age/attrition relationship found in Week 1, and a promotion stagnation ratio flagging employees who may feel overlooked for advancement. Each of these choices is grounded directly in patterns the exploratory analysis surfaced.</w:t>
      </w:r>
    </w:p>
    <w:p>
      <w:pPr>
        <w:pStyle w:val="Heading2"/>
        <w:spacing w:before="300"/>
      </w:pPr>
      <w:r>
        <w:t xml:space="preserve">4. Application to This Engagement</w:t>
      </w:r>
    </w:p>
    <w:p>
      <w:pPr>
        <w:spacing w:after="200"/>
      </w:pPr>
      <w:r>
        <w:t xml:space="preserve">The output of this phase, a cleaned dataset and a fully encoded, scaled, machine-learning-ready dataset, is the foundation Week 3's predictive modelling will build on. Just as Week 1 argued that a predictive model built without first understanding the business problem risks being an unexplainable black box, a model built on poorly prepared data risks being unreliable regardless of how well the underlying problem is understood. This preprocessing work is therefore not a formality, but a necessary and deliberate step that determines how trustworthy and useful any model AnalystLab Africa eventually delivers to ABC Manufacturing Ltd will be.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2026-08-16T11:15:30.948Z</dcterms:created>
  <dcterms:modified xsi:type="dcterms:W3CDTF">2026-08-16T11:15:30.949Z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