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Machine Learning Problem Definition Document</w:t>
      </w:r>
    </w:p>
    <w:p>
      <w:pPr>
        <w:spacing w:after="300"/>
        <w:jc w:val="center"/>
      </w:pPr>
      <w:r>
        <w:rPr>
          <w:i/>
          <w:iCs/>
        </w:rPr>
        <w:t xml:space="preserve">HealthConnect Clinic, Appointment No-Show Prediction</w:t>
      </w:r>
    </w:p>
    <w:p>
      <w:pPr>
        <w:spacing w:after="400"/>
        <w:jc w:val="center"/>
      </w:pPr>
      <w:r>
        <w:rPr>
          <w:sz w:val="20"/>
          <w:szCs w:val="20"/>
        </w:rPr>
        <w:t xml:space="preserve">Prepared by: Priscilla Arhin | AnalystLab Africa Experience Lab, Data Science Track | Week 4</w:t>
      </w:r>
    </w:p>
    <w:p>
      <w:pPr>
        <w:pStyle w:val="Heading2"/>
        <w:spacing w:before="300"/>
      </w:pPr>
      <w:r>
        <w:t xml:space="preserve">1. Problem Definition</w:t>
      </w:r>
    </w:p>
    <w:p>
      <w:pPr>
        <w:spacing w:after="150"/>
      </w:pPr>
      <w:r>
        <w:t xml:space="preserve">HealthConnect Clinic experiences a high rate of missed appointments (no-shows), which leads to wasted appointment slots, inefficient scheduling, and reduced capacity to serve other patients. The central project question is how HealthConnect Clinic can use data and AI to reduce missed appointments and improve the patient support experience.</w:t>
      </w:r>
    </w:p>
    <w:p>
      <w:pPr>
        <w:spacing w:after="150"/>
      </w:pPr>
      <w:r>
        <w:t xml:space="preserve">From a Data Science perspective, this translates into a supervised machine learning problem: can the clinic predict, in advance, which scheduled appointments are at high risk of becoming a no-show? A reliable prediction would allow the clinic to intervene proactively, for example through targeted reminders, rebooking outreach, or overbooking strategies for high-risk slots, rather than reacting only after an appointment is missed.</w:t>
      </w:r>
    </w:p>
    <w:p>
      <w:pPr>
        <w:pStyle w:val="Heading2"/>
        <w:spacing w:before="300"/>
      </w:pPr>
      <w:r>
        <w:t xml:space="preserve">2. Initial Data Assessment</w:t>
      </w:r>
    </w:p>
    <w:p>
      <w:pPr>
        <w:spacing w:after="80" w:before="180"/>
      </w:pPr>
      <w:r>
        <w:rPr>
          <w:b/>
          <w:bCs/>
          <w:sz w:val="24"/>
          <w:szCs w:val="24"/>
        </w:rPr>
        <w:t xml:space="preserve">Dataset Overview</w:t>
      </w:r>
    </w:p>
    <w:p>
      <w:pPr>
        <w:spacing w:after="150"/>
      </w:pPr>
      <w:r>
        <w:t xml:space="preserve">The HealthConnect_Appointment_Data.csv file contains 5,000 appointment records across 18 columns, covering patient demographics (gender, age, age_group), appointment details (appointment_type, booking_date, appointment_date, appointment_day, appointment_time, booking_lead_days), patient history (previous_appointments, previous_no_shows), reminder information (reminder_sent, reminder_channel), clinic logistics (distance_to_clinic_km, waiting_time_minutes), and the appointment outcome. The dataset covers 1,696 unique patients across the 5,000 appointments, meaning most patients appear more than once, which is relevant to how history-based features were likely calculated.</w:t>
      </w:r>
    </w:p>
    <w:p>
      <w:pPr>
        <w:spacing w:after="80" w:before="180"/>
      </w:pPr>
      <w:r>
        <w:rPr>
          <w:b/>
          <w:bCs/>
          <w:sz w:val="24"/>
          <w:szCs w:val="24"/>
        </w:rPr>
        <w:t xml:space="preserve">Data Quality Findings</w:t>
      </w:r>
    </w:p>
    <w:p>
      <w:pPr>
        <w:spacing w:after="80"/>
      </w:pPr>
      <w:r>
        <w:t xml:space="preserve">•  No duplicate rows and no duplicate appointment_id values were found; each record represents a distinct appointment.</w:t>
      </w:r>
    </w:p>
    <w:p>
      <w:pPr>
        <w:spacing w:after="80"/>
      </w:pPr>
      <w:r>
        <w:t xml:space="preserve">•  previous_no_shows never exceeds previous_appointments for any record, confirming internal consistency of the patient history fields.</w:t>
      </w:r>
    </w:p>
    <w:p>
      <w:pPr>
        <w:spacing w:after="80"/>
      </w:pPr>
      <w:r>
        <w:t xml:space="preserve">•  reminder_channel is missing in 1,366 records (27.3%), but this is fully explained by structure, not a data quality issue: every record with reminder_sent = No has a null reminder_channel, and every record with reminder_sent = Yes has a valid channel value.</w:t>
      </w:r>
    </w:p>
    <w:p>
      <w:pPr>
        <w:spacing w:after="80"/>
      </w:pPr>
      <w:r>
        <w:t xml:space="preserve">•  distance_to_clinic_km has 90 missing values (1.8%) and waiting_time_minutes has 60 missing values (1.2%), both flagged as containing limited missing values in the official Data Dictionary; these will need a documented imputation or exclusion strategy before modelling.</w:t>
      </w:r>
    </w:p>
    <w:p>
      <w:pPr>
        <w:spacing w:after="80"/>
      </w:pPr>
      <w:r>
        <w:t xml:space="preserve">•  waiting_time_minutes is present for No-Show, Attended, and Cancelled appointments alike, with near-identical distributions across all three outcomes (mean approximately 24 minutes in each case), indicating this field most likely represents an estimated or scheduled wait time rather than an actual recorded wait time, and is therefore unlikely to constitute data leakage. This will be confirmed with the project team/mentor before being used as a model input.</w:t>
      </w:r>
    </w:p>
    <w:p>
      <w:pPr>
        <w:pStyle w:val="Heading2"/>
        <w:spacing w:before="300"/>
      </w:pPr>
      <w:r>
        <w:t xml:space="preserve">3. Proposed Target Variable</w:t>
      </w:r>
    </w:p>
    <w:p>
      <w:pPr>
        <w:spacing w:after="150"/>
      </w:pPr>
      <w:r>
        <w:t xml:space="preserve">The dataset's outcome field, appointment_outcome, contains three categories: No-Show (48.5%), Attended (46.3%), and Cancelled (5.3%). A Cancelled appointment represents a different kind of event from a silent No-Show: a cancellation is a known, actively communicated outcome that the clinic can already plan around, whereas a No-Show is the unplanned, costly outcome the business scenario is specifically concerned with.</w:t>
      </w:r>
    </w:p>
    <w:p>
      <w:pPr>
        <w:spacing w:after="150"/>
      </w:pPr>
      <w:r>
        <w:t xml:space="preserve">Proposed approach: define the machine learning problem as binary classification, predicting No-Show versus Attended, and exclude Cancelled appointments from the modelling dataset. This keeps the target variable focused specifically on the business problem stated in the brief (missed appointments), rather than diluting it with a conceptually different outcome. This decision will be revisited if project stakeholders indicate cancellations should be handled differently.</w:t>
      </w:r>
    </w:p>
    <w:p>
      <w:pPr>
        <w:pStyle w:val="Heading2"/>
        <w:spacing w:before="300"/>
      </w:pPr>
      <w:r>
        <w:t xml:space="preserve">4. Potential Input Features</w:t>
      </w:r>
    </w:p>
    <w:p>
      <w:pPr>
        <w:spacing w:after="150"/>
      </w:pPr>
      <w:r>
        <w:t xml:space="preserve">An initial exploratory pass was conducted to assess which variables show a visible relationship with appointment outcome, to prioritise the most promising features for the next project phase.</w:t>
      </w:r>
    </w:p>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600"/>
        </w:tblGrid>
        <w:tr>
          <w:tc>
            <w:tcPr>
              <w:tcW w:type="dxa" w:w="2400"/>
              <w:shd w:fill="D9E2F3" w:val="clear"/>
            </w:tcPr>
            <w:p>
              <w:r>
                <w:rPr>
                  <w:b/>
                  <w:bCs/>
                </w:rPr>
                <w:t xml:space="preserve">Feature</w:t>
              </w:r>
            </w:p>
          </w:tc>
          <w:tc>
            <w:tcPr>
              <w:tcW w:type="dxa" w:w="3500"/>
              <w:shd w:fill="D9E2F3" w:val="clear"/>
            </w:tcPr>
            <w:p>
              <w:r>
                <w:rPr>
                  <w:b/>
                  <w:bCs/>
                </w:rPr>
                <w:t xml:space="preserve">Observed Signal Strength</w:t>
              </w:r>
            </w:p>
          </w:tc>
          <w:tc>
            <w:tcPr>
              <w:tcW w:type="dxa" w:w="3600"/>
              <w:shd w:fill="D9E2F3" w:val="clear"/>
            </w:tcPr>
            <w:p>
              <w:r>
                <w:rPr>
                  <w:b/>
                  <w:bCs/>
                </w:rPr>
                <w:t xml:space="preserve">Pattern Observed</w:t>
              </w:r>
            </w:p>
          </w:tc>
        </w:tr>
        <w:tr>
          <w:tc>
            <w:tcPr>
              <w:tcW w:type="dxa" w:w="2400"/>
            </w:tcPr>
            <w:p>
              <w:r>
                <w:t xml:space="preserve">booking_lead_days</w:t>
              </w:r>
            </w:p>
          </w:tc>
          <w:tc>
            <w:tcPr>
              <w:tcW w:type="dxa" w:w="3500"/>
            </w:tcPr>
            <w:p>
              <w:r>
                <w:t xml:space="preserve">Strong</w:t>
              </w:r>
            </w:p>
          </w:tc>
          <w:tc>
            <w:tcPr>
              <w:tcW w:type="dxa" w:w="3600"/>
            </w:tcPr>
            <w:p>
              <w:r>
                <w:t xml:space="preserve">No-show rate rises from 24.8% (0-3 days lead) to 60.5% (30+ days lead)</w:t>
              </w:r>
            </w:p>
          </w:tc>
        </w:tr>
        <w:tr>
          <w:tc>
            <w:tcPr>
              <w:tcW w:type="dxa" w:w="2400"/>
            </w:tcPr>
            <w:p>
              <w:r>
                <w:t xml:space="preserve">previous_no_shows</w:t>
              </w:r>
            </w:p>
          </w:tc>
          <w:tc>
            <w:tcPr>
              <w:tcW w:type="dxa" w:w="3500"/>
            </w:tcPr>
            <w:p>
              <w:r>
                <w:t xml:space="preserve">Strong</w:t>
              </w:r>
            </w:p>
          </w:tc>
          <w:tc>
            <w:tcPr>
              <w:tcW w:type="dxa" w:w="3600"/>
            </w:tcPr>
            <w:p>
              <w:r>
                <w:t xml:space="preserve">No-show rate rises from 43.5% (0 prior) to 68.8% (3+ prior)</w:t>
              </w:r>
            </w:p>
          </w:tc>
        </w:tr>
        <w:tr>
          <w:tc>
            <w:tcPr>
              <w:tcW w:type="dxa" w:w="2400"/>
            </w:tcPr>
            <w:p>
              <w:r>
                <w:t xml:space="preserve">distance_to_clinic_km</w:t>
              </w:r>
            </w:p>
          </w:tc>
          <w:tc>
            <w:tcPr>
              <w:tcW w:type="dxa" w:w="3500"/>
            </w:tcPr>
            <w:p>
              <w:r>
                <w:t xml:space="preserve">Moderate</w:t>
              </w:r>
            </w:p>
          </w:tc>
          <w:tc>
            <w:tcPr>
              <w:tcW w:type="dxa" w:w="3600"/>
            </w:tcPr>
            <w:p>
              <w:r>
                <w:t xml:space="preserve">Largely flat (45-49%) until 20+km, where it rises to 57.8%</w:t>
              </w:r>
            </w:p>
          </w:tc>
        </w:tr>
        <w:tr>
          <w:tc>
            <w:tcPr>
              <w:tcW w:type="dxa" w:w="2400"/>
            </w:tcPr>
            <w:p>
              <w:r>
                <w:t xml:space="preserve">reminder_sent</w:t>
              </w:r>
            </w:p>
          </w:tc>
          <w:tc>
            <w:tcPr>
              <w:tcW w:type="dxa" w:w="3500"/>
            </w:tcPr>
            <w:p>
              <w:r>
                <w:t xml:space="preserve">Weak to Moderate</w:t>
              </w:r>
            </w:p>
          </w:tc>
          <w:tc>
            <w:tcPr>
              <w:tcW w:type="dxa" w:w="3600"/>
            </w:tcPr>
            <w:p>
              <w:r>
                <w:t xml:space="preserve">51.4% (No) vs 47.4% (Yes); a modest difference</w:t>
              </w:r>
            </w:p>
          </w:tc>
        </w:tr>
        <w:tr>
          <w:tc>
            <w:tcPr>
              <w:tcW w:type="dxa" w:w="2400"/>
            </w:tcPr>
            <w:p>
              <w:r>
                <w:t xml:space="preserve">age_group</w:t>
              </w:r>
            </w:p>
          </w:tc>
          <w:tc>
            <w:tcPr>
              <w:tcW w:type="dxa" w:w="3500"/>
            </w:tcPr>
            <w:p>
              <w:r>
                <w:t xml:space="preserve">Weak</w:t>
              </w:r>
            </w:p>
          </w:tc>
          <w:tc>
            <w:tcPr>
              <w:tcW w:type="dxa" w:w="3600"/>
            </w:tcPr>
            <w:p>
              <w:r>
                <w:t xml:space="preserve">Flat across all bands (45-51%)</w:t>
              </w:r>
            </w:p>
          </w:tc>
        </w:tr>
        <w:tr>
          <w:tc>
            <w:tcPr>
              <w:tcW w:type="dxa" w:w="2400"/>
            </w:tcPr>
            <w:p>
              <w:r>
                <w:t xml:space="preserve">appointment_type</w:t>
              </w:r>
            </w:p>
          </w:tc>
          <w:tc>
            <w:tcPr>
              <w:tcW w:type="dxa" w:w="3500"/>
            </w:tcPr>
            <w:p>
              <w:r>
                <w:t xml:space="preserve">Weak</w:t>
              </w:r>
            </w:p>
          </w:tc>
          <w:tc>
            <w:tcPr>
              <w:tcW w:type="dxa" w:w="3600"/>
            </w:tcPr>
            <w:p>
              <w:r>
                <w:t xml:space="preserve">Flat across all types (46.6-51.2%)</w:t>
              </w:r>
            </w:p>
          </w:tc>
        </w:tr>
        <w:tr>
          <w:tc>
            <w:tcPr>
              <w:tcW w:type="dxa" w:w="2400"/>
            </w:tcPr>
            <w:p>
              <w:r>
                <w:t xml:space="preserve">waiting_time_minutes</w:t>
              </w:r>
            </w:p>
          </w:tc>
          <w:tc>
            <w:tcPr>
              <w:tcW w:type="dxa" w:w="3500"/>
            </w:tcPr>
            <w:p>
              <w:r>
                <w:t xml:space="preserve">Inconclusive</w:t>
              </w:r>
            </w:p>
          </w:tc>
          <w:tc>
            <w:tcPr>
              <w:tcW w:type="dxa" w:w="3600"/>
            </w:tcPr>
            <w:p>
              <w:r>
                <w:t xml:space="preserve">Mostly flat (46-49%); highest bucket unreliable, only 3 records</w:t>
              </w:r>
            </w:p>
          </w:tc>
        </w:tr>
      </w:tbl>
    </w:p>
    <w:p/>
    <w:p>
      <w:pPr>
        <w:spacing w:after="150"/>
      </w:pPr>
      <w:r>
        <w:t xml:space="preserve">Based on this initial assessment, booking_lead_days and previous_no_shows appear to be the strongest candidate predictors, with distance_to_clinic_km and reminder_sent as secondary candidates. Weak or inconclusive variables (age_group, appointment_type, waiting_time_minutes) will not be discarded at this stage, since more rigorous statistical testing and multivariate analysis in the next project phase may reveal interaction effects not visible in this initial single-variable assessment.</w:t>
      </w:r>
    </w:p>
    <w:p>
      <w:pPr>
        <w:pStyle w:val="Heading2"/>
        <w:spacing w:before="300"/>
      </w:pPr>
      <w:r>
        <w:t xml:space="preserve">5. Initial Modelling Approach</w:t>
      </w:r>
    </w:p>
    <w:p>
      <w:pPr>
        <w:spacing w:after="150"/>
      </w:pPr>
      <w:r>
        <w:t xml:space="preserve">At this stage, the recommended approach is:</w:t>
      </w:r>
    </w:p>
    <w:p>
      <w:pPr>
        <w:spacing w:after="80"/>
      </w:pPr>
      <w:r>
        <w:t xml:space="preserve">•  Frame the problem as binary classification (No-Show = 1, Attended = 0), with Cancelled appointments excluded from the training data as discussed in Section 3.</w:t>
      </w:r>
    </w:p>
    <w:p>
      <w:pPr>
        <w:spacing w:after="80"/>
      </w:pPr>
      <w:r>
        <w:t xml:space="preserve">•  Begin with an interpretable baseline model (e.g. logistic regression), given the clinic and its stakeholders will likely want to understand which factors drive predictions, not just receive a prediction.</w:t>
      </w:r>
    </w:p>
    <w:p>
      <w:pPr>
        <w:spacing w:after="80"/>
      </w:pPr>
      <w:r>
        <w:t xml:space="preserve">•  Compare against a tree-based model (e.g. random forest or gradient boosting) in a later phase, which may better capture non-linear relationships and interactions between features such as booking_lead_days and previous_no_shows.</w:t>
      </w:r>
    </w:p>
    <w:p>
      <w:pPr>
        <w:spacing w:after="80"/>
      </w:pPr>
      <w:r>
        <w:t xml:space="preserve">•  Evaluate using metrics appropriate for a classification problem, prioritising recall on the No-Show class in addition to overall accuracy, since failing to flag a true no-show (a false negative) is likely more costly to the clinic than a false alarm.</w:t>
      </w:r>
    </w:p>
    <w:p>
      <w:pPr>
        <w:pStyle w:val="Heading2"/>
        <w:spacing w:before="300"/>
      </w:pPr>
      <w:r>
        <w:t xml:space="preserve">6. Key Modelling Considerations</w:t>
      </w:r>
    </w:p>
    <w:p>
      <w:pPr>
        <w:spacing w:after="80"/>
      </w:pPr>
      <w:r>
        <w:t xml:space="preserve">•  Class balance: the target classes are close to balanced (48.5% No-Show vs 46.3% Attended once Cancelled records are excluded and re-proportioned), which is more favourable for modelling than a highly imbalanced problem, though this should be re-verified after Cancelled records are formally removed.</w:t>
      </w:r>
    </w:p>
    <w:p>
      <w:pPr>
        <w:spacing w:after="80"/>
      </w:pPr>
      <w:r>
        <w:t xml:space="preserve">•  Missing data: distance_to_clinic_km and waiting_time_minutes contain limited missing values that will need a documented handling strategy (e.g. imputation) before model training.</w:t>
      </w:r>
    </w:p>
    <w:p>
      <w:pPr>
        <w:spacing w:after="80"/>
      </w:pPr>
      <w:r>
        <w:t xml:space="preserve">•  Potential data leakage: waiting_time_minutes requires confirmation of its exact definition (estimated vs actual) before being used as a model input, given a genuinely recorded wait time would not be available for an appointment that has not yet happened.</w:t>
      </w:r>
    </w:p>
    <w:p>
      <w:pPr>
        <w:spacing w:after="80"/>
      </w:pPr>
      <w:r>
        <w:t xml:space="preserve">•  Patient repetition: since 1,696 patients account for 5,000 appointments, care will be needed when splitting data into training and test sets in a later phase, to avoid the same patient appearing in both sets and inflating apparent model performance.</w:t>
      </w:r>
    </w:p>
    <w:p>
      <w:pPr>
        <w:spacing w:after="80"/>
      </w:pPr>
      <w:r>
        <w:t xml:space="preserve">•  Interpretability requirement: given the clinic's likely interest in understanding why an appointment is flagged as high-risk (to inform intervention design), model choice and evaluation should not prioritise raw predictive accuracy alone.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2026-08-30T19:58:18.660Z</dcterms:created>
  <dcterms:modified xsi:type="dcterms:W3CDTF">2026-08-30T19:58:18.673Z</dcterms:modified>
</cp:coreProperties>
</file>

<file path=docProps/custom.xml><?xml version="1.0" encoding="utf-8"?>
<Properties xmlns="http://schemas.openxmlformats.org/officeDocument/2006/custom-properties" xmlns:vt="http://schemas.openxmlformats.org/officeDocument/2006/docPropsVTypes"/>
</file>