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Cross-Track Integration Evidence</w:t>
      </w:r>
    </w:p>
    <w:p>
      <w:pPr>
        <w:spacing w:after="300"/>
        <w:jc w:val="center"/>
      </w:pPr>
      <w:r>
        <w:rPr>
          <w:i/>
          <w:iCs/>
        </w:rPr>
        <w:t xml:space="preserve">HealthConnect Clinic, Data Science and Data Analytics</w:t>
      </w:r>
    </w:p>
    <w:p>
      <w:pPr>
        <w:spacing w:after="400"/>
        <w:jc w:val="center"/>
      </w:pPr>
      <w:r>
        <w:rPr>
          <w:sz w:val="20"/>
          <w:szCs w:val="20"/>
        </w:rPr>
        <w:t xml:space="preserve">Prepared by: Priscilla Arhin | AnalystLab Africa Experience Lab, Data Science Track | Week 6</w:t>
      </w:r>
    </w:p>
    <w:p>
      <w:pPr>
        <w:pStyle w:val="Heading2"/>
        <w:spacing w:before="250"/>
      </w:pPr>
      <w:r>
        <w:t xml:space="preserve">1. Integration Point</w:t>
      </w:r>
    </w:p>
    <w:p>
      <w:pPr>
        <w:spacing w:after="20" w:before="100"/>
      </w:pPr>
      <w:r>
        <w:rPr>
          <w:b/>
          <w:bCs/>
        </w:rPr>
        <w:t xml:space="preserve">Track I collaborated with:</w:t>
      </w:r>
    </w:p>
    <w:p>
      <w:pPr>
        <w:spacing w:after="140"/>
      </w:pPr>
      <w:r>
        <w:t xml:space="preserve">Data Analytics.</w:t>
      </w:r>
    </w:p>
    <w:p>
      <w:pPr>
        <w:spacing w:after="20" w:before="100"/>
      </w:pPr>
      <w:r>
        <w:rPr>
          <w:b/>
          <w:bCs/>
        </w:rPr>
        <w:t xml:space="preserve">Collaborator:</w:t>
      </w:r>
    </w:p>
    <w:p>
      <w:pPr>
        <w:spacing w:after="140"/>
      </w:pPr>
      <w:r>
        <w:t xml:space="preserve">Hudu Yusuf Ibrahim, Data Analytics Track.</w:t>
      </w:r>
    </w:p>
    <w:p>
      <w:pPr>
        <w:spacing w:after="20" w:before="100"/>
      </w:pPr>
      <w:r>
        <w:rPr>
          <w:b/>
          <w:bCs/>
        </w:rPr>
        <w:t xml:space="preserve">What I asked for:</w:t>
      </w:r>
    </w:p>
    <w:p>
      <w:pPr>
        <w:spacing w:after="140"/>
      </w:pPr>
      <w:r>
        <w:t xml:space="preserve">I wanted to know whether the risk patterns I found in my model, specifically around booking lead time and prior no-show history, were also visible in his own analysis of the same HealthConnect appointment dataset, using a different tool and approach.</w:t>
      </w:r>
    </w:p>
    <w:p>
      <w:pPr>
        <w:spacing w:after="20" w:before="100"/>
      </w:pPr>
      <w:r>
        <w:rPr>
          <w:b/>
          <w:bCs/>
        </w:rPr>
        <w:t xml:space="preserve">What I gave him:</w:t>
      </w:r>
    </w:p>
    <w:p>
      <w:pPr>
        <w:spacing w:after="140"/>
      </w:pPr>
      <w:r>
        <w:t xml:space="preserve">My specific findings: a no-show rate rising from 24.8 percent (0-3 day lead time) to 60.5 percent (30+ day lead time), a rise from 43.5 percent to 68.8 percent across increasing prior no-show counts, and my finding that appointment_type and waiting_time_minutes showed almost no relationship with no-shows at all.</w:t>
      </w:r>
    </w:p>
    <w:p>
      <w:pPr>
        <w:spacing w:after="20" w:before="100"/>
      </w:pPr>
      <w:r>
        <w:rPr>
          <w:b/>
          <w:bCs/>
        </w:rPr>
        <w:t xml:space="preserve">Why I reached out to him:</w:t>
      </w:r>
    </w:p>
    <w:p>
      <w:pPr>
        <w:spacing w:after="140"/>
      </w:pPr>
      <w:r>
        <w:t xml:space="preserve">Per the HealthConnect Integration Matrix, Data Analytics and Data Science findings are meant to inform one another. I wanted an independent check on my two strongest predictors from someone using a completely different toolset, since agreement across two separate methods is stronger evidence than either of us finding the same thing alone.</w:t>
      </w:r>
    </w:p>
    <w:p>
      <w:pPr>
        <w:pStyle w:val="Heading2"/>
        <w:spacing w:before="250"/>
      </w:pPr>
      <w:r>
        <w:t xml:space="preserve">2. Integration Objective</w:t>
      </w:r>
    </w:p>
    <w:p>
      <w:pPr>
        <w:spacing w:after="140"/>
      </w:pPr>
      <w:r>
        <w:t xml:space="preserve">Before reaching out to Hudu, the strength of the booking lead time and prior no-show pattern rested entirely on my own model and correlation analysis. After the exchange, I have an independent confirmation of the same pattern from a separate method (Power BI and Python, using week-based lead time segmentation), which gives me more confidence that this pattern is a genuine feature of the dataset rather than something specific to how I built my model.</w:t>
      </w:r>
    </w:p>
    <w:p>
      <w:pPr>
        <w:pStyle w:val="Heading2"/>
        <w:spacing w:before="250"/>
      </w:pPr>
      <w:r>
        <w:t xml:space="preserve">3. What We Compared</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150"/>
          <w:gridCol w:w="3150"/>
        </w:tblGrid>
        <w:tr>
          <w:tc>
            <w:tcPr>
              <w:tcW w:type="dxa" w:w="3200"/>
              <w:shd w:fill="D9E2F3" w:val="clear"/>
            </w:tcPr>
            <w:p>
              <w:r>
                <w:rPr>
                  <w:b/>
                  <w:bCs/>
                </w:rPr>
                <w:t xml:space="preserve">Metric</w:t>
              </w:r>
            </w:p>
          </w:tc>
          <w:tc>
            <w:tcPr>
              <w:tcW w:type="dxa" w:w="3150"/>
              <w:shd w:fill="D9E2F3" w:val="clear"/>
            </w:tcPr>
            <w:p>
              <w:r>
                <w:rPr>
                  <w:b/>
                  <w:bCs/>
                </w:rPr>
                <w:t xml:space="preserve">Mine (Priscilla Arhin)</w:t>
              </w:r>
            </w:p>
          </w:tc>
          <w:tc>
            <w:tcPr>
              <w:tcW w:type="dxa" w:w="3150"/>
              <w:shd w:fill="D9E2F3" w:val="clear"/>
            </w:tcPr>
            <w:p>
              <w:r>
                <w:rPr>
                  <w:b/>
                  <w:bCs/>
                </w:rPr>
                <w:t xml:space="preserve">Hudu Yusuf Ibrahim's</w:t>
              </w:r>
            </w:p>
          </w:tc>
        </w:tr>
        <w:tr>
          <w:tc>
            <w:tcPr>
              <w:tcW w:type="dxa" w:w="3200"/>
            </w:tcPr>
            <w:p>
              <w:r>
                <w:t xml:space="preserve">Lead time segmentation</w:t>
              </w:r>
            </w:p>
          </w:tc>
          <w:tc>
            <w:tcPr>
              <w:tcW w:type="dxa" w:w="3150"/>
            </w:tcPr>
            <w:p>
              <w:r>
                <w:t xml:space="preserve">Day-based buckets (0-3, 4-7, 8-14, 15-30, 30+ days)</w:t>
              </w:r>
            </w:p>
          </w:tc>
          <w:tc>
            <w:tcPr>
              <w:tcW w:type="dxa" w:w="3150"/>
            </w:tcPr>
            <w:p>
              <w:r>
                <w:t xml:space="preserve">Week-based buckets (same week vs 3+ weeks out)</w:t>
              </w:r>
            </w:p>
          </w:tc>
        </w:tr>
        <w:tr>
          <w:tc>
            <w:tcPr>
              <w:tcW w:type="dxa" w:w="3200"/>
            </w:tcPr>
            <w:p>
              <w:r>
                <w:t xml:space="preserve">Lowest-risk no-show rate</w:t>
              </w:r>
            </w:p>
          </w:tc>
          <w:tc>
            <w:tcPr>
              <w:tcW w:type="dxa" w:w="3150"/>
            </w:tcPr>
            <w:p>
              <w:r>
                <w:t xml:space="preserve">24.8% (0-3 days)</w:t>
              </w:r>
            </w:p>
          </w:tc>
          <w:tc>
            <w:tcPr>
              <w:tcW w:type="dxa" w:w="3150"/>
            </w:tcPr>
            <w:p>
              <w:r>
                <w:t xml:space="preserve">27.8% (same-week booking)</w:t>
              </w:r>
            </w:p>
          </w:tc>
        </w:tr>
        <w:tr>
          <w:tc>
            <w:tcPr>
              <w:tcW w:type="dxa" w:w="3200"/>
            </w:tcPr>
            <w:p>
              <w:r>
                <w:t xml:space="preserve">Highest-risk no-show rate</w:t>
              </w:r>
            </w:p>
          </w:tc>
          <w:tc>
            <w:tcPr>
              <w:tcW w:type="dxa" w:w="3150"/>
            </w:tcPr>
            <w:p>
              <w:r>
                <w:t xml:space="preserve">60.5% (30+ days)</w:t>
              </w:r>
            </w:p>
          </w:tc>
          <w:tc>
            <w:tcPr>
              <w:tcW w:type="dxa" w:w="3150"/>
            </w:tcPr>
            <w:p>
              <w:r>
                <w:t xml:space="preserve">56.9% (3+ weeks out)</w:t>
              </w:r>
            </w:p>
          </w:tc>
        </w:tr>
        <w:tr>
          <w:tc>
            <w:tcPr>
              <w:tcW w:type="dxa" w:w="3200"/>
            </w:tcPr>
            <w:p>
              <w:r>
                <w:t xml:space="preserve">Combined high-risk segment</w:t>
              </w:r>
            </w:p>
          </w:tc>
          <w:tc>
            <w:tcPr>
              <w:tcW w:type="dxa" w:w="3150"/>
            </w:tcPr>
            <w:p>
              <w:r>
                <w:t xml:space="preserve">Long lead time (30+ days) AND prior no-show history: 69.9% (n=1,005)</w:t>
              </w:r>
            </w:p>
          </w:tc>
          <w:tc>
            <w:tcPr>
              <w:tcW w:type="dxa" w:w="3150"/>
            </w:tcPr>
            <w:p>
              <w:r>
                <w:t xml:space="preserve">Lead time combined with prior no-show history: 64.1% no-show rate</w:t>
              </w:r>
            </w:p>
          </w:tc>
        </w:tr>
        <w:tr>
          <w:tc>
            <w:tcPr>
              <w:tcW w:type="dxa" w:w="3200"/>
            </w:tcPr>
            <w:p>
              <w:r>
                <w:t xml:space="preserve">Tool/method used</w:t>
              </w:r>
            </w:p>
          </w:tc>
          <w:tc>
            <w:tcPr>
              <w:tcW w:type="dxa" w:w="3150"/>
            </w:tcPr>
            <w:p>
              <w:r>
                <w:t xml:space="preserve">Python (pandas, scikit-learn)</w:t>
              </w:r>
            </w:p>
          </w:tc>
          <w:tc>
            <w:tcPr>
              <w:tcW w:type="dxa" w:w="3150"/>
            </w:tcPr>
            <w:p>
              <w:r>
                <w:t xml:space="preserve">Power BI and Python</w:t>
              </w:r>
            </w:p>
          </w:tc>
        </w:tr>
      </w:tbl>
    </w:p>
    <w:p/>
    <w:p>
      <w:pPr>
        <w:pStyle w:val="Heading2"/>
        <w:spacing w:before="250"/>
      </w:pPr>
      <w:r>
        <w:t xml:space="preserve">4. What This Told Me</w:t>
      </w:r>
    </w:p>
    <w:p>
      <w:pPr>
        <w:spacing w:after="140"/>
      </w:pPr>
      <w:r>
        <w:t xml:space="preserve">Hudu and I agree on both the direction and the rough size of the pattern, even though we segmented lead time differently. We both find the lowest no-show risk among appointments booked shortly before the appointment date (24.8 percent versus 27.8 percent) and substantially higher risk among appointments booked well in advance (60.5 percent versus 56.9 percent). The small numerical differences come down to our different bucket boundaries, exact day thresholds on my side versus week-based groupings on his, not a disagreement about the underlying pattern.</w:t>
      </w:r>
    </w:p>
    <w:p>
      <w:pPr>
        <w:spacing w:after="140"/>
      </w:pPr>
      <w:r>
        <w:t xml:space="preserve">His combined segment (longer lead time plus prior no-show history) came out to 64.1 percent, reached independently through Power BI and Python. My own equivalent combined segment, long lead time of 30+ days together with any prior no-show history, came out to 69.9 percent across 1,005 appointments. These two numbers are reasonably close and point the same direction: combining the two risk factors produces a clearly higher no-show rate than either factor alone. The gap between 64.1 and 69.9 percent is down to our different segmentation thresholds, not a contradiction. Getting a similar answer from someone using a completely different toolset makes me more confident that booking lead time and prior no-show history are real, robust predictors in this dataset, not just a pattern my particular model happened to pick up.</w:t>
      </w:r>
    </w:p>
    <w:p>
      <w:pPr>
        <w:pStyle w:val="Heading2"/>
        <w:spacing w:before="250"/>
      </w:pPr>
      <w:r>
        <w:t xml:space="preserve">5. What This Did Not Change</w:t>
      </w:r>
    </w:p>
    <w:p>
      <w:pPr>
        <w:spacing w:after="140"/>
      </w:pPr>
      <w:r>
        <w:t xml:space="preserve">I want to be clear that this exchange did not change my feature set, my model, or my final candidate model from Section 7 of my Week 6 report. Nothing here fed back into a decision I made. What it gave me is confirmation, not new input, an independent check that the two variables I already identified as my strongest predictors are picking up something real, from someone using entirely different tools and methods. My work stands as it was before this conversation; this exchange is validation sitting alongside it, not a change to it.</w:t>
      </w:r>
    </w:p>
    <w:p>
      <w:pPr>
        <w:pStyle w:val="Heading2"/>
        <w:spacing w:before="250"/>
      </w:pPr>
      <w:r>
        <w:t xml:space="preserve">6. Summary</w:t>
      </w:r>
    </w:p>
    <w:p>
      <w:pPr>
        <w:spacing w:after="140"/>
      </w:pPr>
      <w:r>
        <w:t xml:space="preserve">This satisfies the Week 6 requirement that cross-track collaboration produce something more than just talking to someone. Comparing notes with Hudu gave me a real, named, quantified cross-check on my two most important model features, from a different analyst using different tools, which strengthens my confidence in the final candidate model I documented in my Week 6 Model Improvement and Validation Report, without altering the work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2026-09-13T21:30:05.811Z</dcterms:created>
  <dcterms:modified xsi:type="dcterms:W3CDTF">2026-09-13T21:30:05.822Z</dcterms:modified>
</cp:coreProperties>
</file>

<file path=docProps/custom.xml><?xml version="1.0" encoding="utf-8"?>
<Properties xmlns="http://schemas.openxmlformats.org/officeDocument/2006/custom-properties" xmlns:vt="http://schemas.openxmlformats.org/officeDocument/2006/docPropsVTypes"/>
</file>