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Week 6 Project Summary</w:t>
      </w:r>
    </w:p>
    <w:p>
      <w:pPr>
        <w:spacing w:after="300"/>
        <w:jc w:val="center"/>
      </w:pPr>
      <w:r>
        <w:rPr>
          <w:i/>
          <w:iCs/>
        </w:rPr>
        <w:t xml:space="preserve">HealthConnect Experience Lab, Data Science Track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Priscilla Arhin | AnalystLab Africa Experience Lab | Week 6</w:t>
      </w:r>
    </w:p>
    <w:p>
      <w:pPr>
        <w:pStyle w:val="Heading2"/>
        <w:spacing w:before="200"/>
      </w:pPr>
      <w:r>
        <w:t xml:space="preserve">1. What Was Planned</w:t>
      </w:r>
    </w:p>
    <w:p>
      <w:pPr>
        <w:spacing w:after="120"/>
      </w:pPr>
      <w:r>
        <w:t xml:space="preserve">To analyse the weaknesses of the Week 5 baseline model, refine features based on that analysis, develop and compare at least one improved modelling approach, tune the model for better business alignment, and complete a meaningful integration activity with another project track.</w:t>
      </w:r>
    </w:p>
    <w:p>
      <w:pPr>
        <w:pStyle w:val="Heading2"/>
        <w:spacing w:before="200"/>
      </w:pPr>
      <w:r>
        <w:t xml:space="preserve">2. What Was Completed</w:t>
      </w:r>
    </w:p>
    <w:p>
      <w:pPr>
        <w:spacing w:after="60"/>
      </w:pPr>
      <w:r>
        <w:t xml:space="preserve">•  Conducted formal error analysis on the Week 5 baseline, identifying a specific blind spot around short-lead-time, no-history no-shows.</w:t>
      </w:r>
    </w:p>
    <w:p>
      <w:pPr>
        <w:spacing w:after="60"/>
      </w:pPr>
      <w:r>
        <w:t xml:space="preserve">•  Resolved the Week 5 open question on waiting_time_minutes with correlation evidence and removed it from the feature set.</w:t>
      </w:r>
    </w:p>
    <w:p>
      <w:pPr>
        <w:spacing w:after="60"/>
      </w:pPr>
      <w:r>
        <w:t xml:space="preserve">•  Developed and compared two improved models (Random Forest, Gradient Boosting) against the refined baseline.</w:t>
      </w:r>
    </w:p>
    <w:p>
      <w:pPr>
        <w:spacing w:after="60"/>
      </w:pPr>
      <w:r>
        <w:t xml:space="preserve">•  Conducted threshold tuning and selected a final candidate model.</w:t>
      </w:r>
    </w:p>
    <w:p>
      <w:pPr>
        <w:spacing w:after="60"/>
      </w:pPr>
      <w:r>
        <w:t xml:space="preserve">•  Completed and documented a cross-track integration activity with the Machine Learning Engineering track.</w:t>
      </w:r>
    </w:p>
    <w:p>
      <w:pPr>
        <w:pStyle w:val="Heading2"/>
        <w:spacing w:before="200"/>
      </w:pPr>
      <w:r>
        <w:t xml:space="preserve">3. What Was Improved From Week 5</w:t>
      </w:r>
    </w:p>
    <w:p>
      <w:pPr>
        <w:spacing w:after="120"/>
      </w:pPr>
      <w:r>
        <w:t xml:space="preserve">The feature set was refined by removing waiting_time_minutes on evidence rather than leaving it as an unresolved assumption. The model's decision threshold was tuned from the default 0.50 to 0.40, improving recall on the No-Show class from 66.2 percent to 82.4 percent. Two alternative model types were tested rather than accepting the baseline as final, even though neither ultimately outperformed it, a documented and informative negative result rather than an unexamined assumption.</w:t>
      </w:r>
    </w:p>
    <w:p>
      <w:pPr>
        <w:pStyle w:val="Heading2"/>
        <w:spacing w:before="200"/>
      </w:pPr>
      <w:r>
        <w:t xml:space="preserve">4. What Was Integrated</w:t>
      </w:r>
    </w:p>
    <w:p>
      <w:pPr>
        <w:spacing w:after="120"/>
      </w:pPr>
      <w:r>
        <w:t xml:space="preserve">A finalised model specification, algorithm, refined feature set, preprocessing parameters, and classification threshold, was documented and handed off as a stable integration target for the Machine Learning Engineering track's pipeline work, replacing the provisional Week 5 baseline as the reference point for that track's integration efforts.</w:t>
      </w:r>
    </w:p>
    <w:p>
      <w:pPr>
        <w:pStyle w:val="Heading2"/>
        <w:spacing w:before="200"/>
      </w:pPr>
      <w:r>
        <w:t xml:space="preserve">5. Track Collaborated With</w:t>
      </w:r>
    </w:p>
    <w:p>
      <w:pPr>
        <w:spacing w:after="120"/>
      </w:pPr>
      <w:r>
        <w:t xml:space="preserve">Machine Learning Engineering.</w:t>
      </w:r>
    </w:p>
    <w:p>
      <w:pPr>
        <w:pStyle w:val="Heading2"/>
        <w:spacing w:before="200"/>
      </w:pPr>
      <w:r>
        <w:t xml:space="preserve">6. What Was Exchanged</w:t>
      </w:r>
    </w:p>
    <w:p>
      <w:pPr>
        <w:spacing w:after="120"/>
      </w:pPr>
      <w:r>
        <w:t xml:space="preserve">Provided: a finalised, validated model specification (algorithm, features, preprocessing, threshold) and the supporting evidence and rationale behind it. Received (as a prerequisite established in that track's own Week 5 work): a defined pipeline structure capable of receiving this specification.</w:t>
      </w:r>
    </w:p>
    <w:p>
      <w:pPr>
        <w:pStyle w:val="Heading2"/>
        <w:spacing w:before="200"/>
      </w:pPr>
      <w:r>
        <w:t xml:space="preserve">7. What Changed as a Result</w:t>
      </w:r>
    </w:p>
    <w:p>
      <w:pPr>
        <w:spacing w:after="120"/>
      </w:pPr>
      <w:r>
        <w:t xml:space="preserve">The Machine Learning Engineering track now has a stable, validated model specification to integrate against, rather than a provisional baseline explicitly likely to change, reducing the risk of pipeline rework in later weeks.</w:t>
      </w:r>
    </w:p>
    <w:p>
      <w:pPr>
        <w:pStyle w:val="Heading2"/>
        <w:spacing w:before="200"/>
      </w:pPr>
      <w:r>
        <w:t xml:space="preserve">8. Key Findings and Development Outcomes</w:t>
      </w:r>
    </w:p>
    <w:p>
      <w:pPr>
        <w:spacing w:after="60"/>
      </w:pPr>
      <w:r>
        <w:t xml:space="preserve">•  The baseline's main error pattern is missing short-lead-time, no-prior-history no-shows, both error types cluster near the 0.5 decision boundary rather than being confidently wrong.</w:t>
      </w:r>
    </w:p>
    <w:p>
      <w:pPr>
        <w:spacing w:after="60"/>
      </w:pPr>
      <w:r>
        <w:t xml:space="preserve">•  Neither Random Forest nor Gradient Boosting outperformed the linear baseline, indicating the key relationships in this dataset are close to monotonic rather than strongly non-linear.</w:t>
      </w:r>
    </w:p>
    <w:p>
      <w:pPr>
        <w:spacing w:after="60"/>
      </w:pPr>
      <w:r>
        <w:t xml:space="preserve">•  Threshold tuning to 0.40 meaningfully improved the model's practical usefulness for the clinic's stated goal, catching 407 of 494 true no-shows versus 327 at the default threshold.</w:t>
      </w:r>
    </w:p>
    <w:p>
      <w:pPr>
        <w:pStyle w:val="Heading2"/>
        <w:spacing w:before="200"/>
      </w:pPr>
      <w:r>
        <w:t xml:space="preserve">9. Major Challenges</w:t>
      </w:r>
    </w:p>
    <w:p>
      <w:pPr>
        <w:spacing w:after="120"/>
      </w:pPr>
      <w:r>
        <w:t xml:space="preserve">Determining whether tree-based model underperformance reflected a genuine dataset characteristic versus insufficient hyperparameter tuning required careful, documented interpretation rather than an immediate conclusion; this is noted explicitly as a limitation rather than presented as a settled fact.</w:t>
      </w:r>
    </w:p>
    <w:p>
      <w:pPr>
        <w:pStyle w:val="Heading2"/>
        <w:spacing w:before="200"/>
      </w:pPr>
      <w:r>
        <w:t xml:space="preserve">10. Important Decisions</w:t>
      </w:r>
    </w:p>
    <w:p>
      <w:pPr>
        <w:spacing w:after="60"/>
      </w:pPr>
      <w:r>
        <w:t xml:space="preserve">•  Removing waiting_time_minutes based on correlation evidence rather than leaving it in due to its presence in the original dataset.</w:t>
      </w:r>
    </w:p>
    <w:p>
      <w:pPr>
        <w:spacing w:after="60"/>
      </w:pPr>
      <w:r>
        <w:t xml:space="preserve">•  Selecting Logistic Regression over both tree-based alternatives despite testing more complex models, based on evaluation evidence rather than an assumption that more complex models are automatically better.</w:t>
      </w:r>
    </w:p>
    <w:p>
      <w:pPr>
        <w:spacing w:after="60"/>
      </w:pPr>
      <w:r>
        <w:t xml:space="preserve">•  Selecting a 0.40 classification threshold based on a qualitative judgement of business cost asymmetry, explicitly documented as a limitation pending a formal cost analysis.</w:t>
      </w:r>
    </w:p>
    <w:p>
      <w:pPr>
        <w:pStyle w:val="Heading2"/>
        <w:spacing w:before="200"/>
      </w:pPr>
      <w:r>
        <w:t xml:space="preserve">11. Remaining Issues</w:t>
      </w:r>
    </w:p>
    <w:p>
      <w:pPr>
        <w:spacing w:after="60"/>
      </w:pPr>
      <w:r>
        <w:t xml:space="preserve">•  The model's blind spot on short-lead-time, no-history no-shows remains unresolved with the current feature set.</w:t>
      </w:r>
    </w:p>
    <w:p>
      <w:pPr>
        <w:spacing w:after="60"/>
      </w:pPr>
      <w:r>
        <w:t xml:space="preserve">•  The 0.40 threshold is not yet validated against an actual, quantified business cost matrix.</w:t>
      </w:r>
    </w:p>
    <w:p>
      <w:pPr>
        <w:spacing w:after="60"/>
      </w:pPr>
      <w:r>
        <w:t xml:space="preserve">•  Hyperparameter tuning for the tree-based models was limited to a single configuration each.</w:t>
      </w:r>
    </w:p>
    <w:p>
      <w:pPr>
        <w:pStyle w:val="Heading2"/>
        <w:spacing w:before="200"/>
      </w:pPr>
      <w:r>
        <w:t xml:space="preserve">12. Contribution to the Overall HealthConnect Project</w:t>
      </w:r>
    </w:p>
    <w:p>
      <w:pPr>
        <w:spacing w:after="120"/>
      </w:pPr>
      <w:r>
        <w:t xml:space="preserve">This week's work moves the Data Science track's contribution from an initial, provisional baseline to a validated, business-aware candidate model with a documented rationale, and formally hands that specification to the Machine Learning Engineering track, directly enabling that track's Week 6 pipeline integration objective.</w:t>
      </w:r>
    </w:p>
    <w:p>
      <w:pPr>
        <w:pStyle w:val="Heading2"/>
        <w:spacing w:before="200"/>
      </w:pPr>
      <w:r>
        <w:t xml:space="preserve">13. Proposed Focus for Week 7</w:t>
      </w:r>
    </w:p>
    <w:p>
      <w:pPr>
        <w:spacing w:after="120"/>
      </w:pPr>
      <w:r>
        <w:t xml:space="preserve">Support end-to-end testing of the Machine Learning Engineering track's integrated pipeline using the finalised model specification, pursue a more formal cost-sensitivity analysis with HealthConnect Clinic stakeholders to validate the classification threshold, and test model stability across different train/test split seeds.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2026-09-13T20:07:55.540Z</dcterms:created>
  <dcterms:modified xsi:type="dcterms:W3CDTF">2026-09-13T20:07:55.540Z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