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F5BF0D3" wp14:textId="77777777">
      <w:pPr>
        <w:pStyle w:val="Heading1"/>
        <w:jc w:val="center"/>
      </w:pPr>
      <w:r>
        <w:t xml:space="preserve">Business Understanding Report</w:t>
      </w:r>
    </w:p>
    <w:p xmlns:wp14="http://schemas.microsoft.com/office/word/2010/wordml" w14:paraId="2FE27102" wp14:textId="77777777">
      <w:pPr>
        <w:spacing w:after="300"/>
        <w:jc w:val="center"/>
      </w:pPr>
      <w:r>
        <w:rPr>
          <w:i/>
          <w:iCs/>
        </w:rPr>
        <w:t xml:space="preserve">Employee Attrition Analysis — ABC Manufacturing Ltd</w:t>
      </w:r>
    </w:p>
    <w:p xmlns:wp14="http://schemas.microsoft.com/office/word/2010/wordml" w14:paraId="699FDAE7" wp14:textId="5F137629">
      <w:pPr>
        <w:spacing w:after="400"/>
        <w:jc w:val="center"/>
      </w:pPr>
      <w:r w:rsidRPr="0ABB5F4B" w:rsidR="0ABB5F4B">
        <w:rPr>
          <w:sz w:val="20"/>
          <w:szCs w:val="20"/>
          <w:lang w:val="en-US"/>
        </w:rPr>
        <w:t xml:space="preserve">Prepared by: Priscilla Arhin | </w:t>
      </w:r>
      <w:r w:rsidRPr="0ABB5F4B" w:rsidR="0ABB5F4B">
        <w:rPr>
          <w:sz w:val="20"/>
          <w:szCs w:val="20"/>
          <w:lang w:val="en-US"/>
        </w:rPr>
        <w:t>AnalystLab</w:t>
      </w:r>
      <w:r w:rsidRPr="0ABB5F4B" w:rsidR="0ABB5F4B">
        <w:rPr>
          <w:sz w:val="20"/>
          <w:szCs w:val="20"/>
          <w:lang w:val="en-US"/>
        </w:rPr>
        <w:t xml:space="preserve"> Africa — Data Science Internship </w:t>
      </w:r>
      <w:r w:rsidRPr="0ABB5F4B" w:rsidR="0ABB5F4B">
        <w:rPr>
          <w:sz w:val="20"/>
          <w:szCs w:val="20"/>
          <w:lang w:val="en-US"/>
        </w:rPr>
        <w:t>Programme</w:t>
      </w:r>
      <w:r w:rsidRPr="0ABB5F4B" w:rsidR="0ABB5F4B">
        <w:rPr>
          <w:sz w:val="20"/>
          <w:szCs w:val="20"/>
          <w:lang w:val="en-US"/>
        </w:rPr>
        <w:t xml:space="preserve"> | Week 1</w:t>
      </w:r>
    </w:p>
    <w:p xmlns:wp14="http://schemas.microsoft.com/office/word/2010/wordml" w14:paraId="7964FBC0" wp14:textId="77777777">
      <w:pPr>
        <w:pStyle w:val="Heading2"/>
      </w:pPr>
      <w:r>
        <w:t xml:space="preserve">1. What is Employee Attrition?</w:t>
      </w:r>
    </w:p>
    <w:p xmlns:wp14="http://schemas.microsoft.com/office/word/2010/wordml" w14:paraId="063672CB" wp14:textId="77777777">
      <w:pPr>
        <w:spacing w:after="200"/>
      </w:pPr>
      <w:r w:rsidRPr="0ABB5F4B" w:rsidR="0ABB5F4B">
        <w:rPr>
          <w:lang w:val="en-US"/>
        </w:rPr>
        <w:t>Employee attrition refers to the gradual reduction of a company's workforce as employees leave the organisation and are not immediately replaced. It is a broader concept than resignation alone, as it captures every way an employee can exit the workforce: voluntary attrition, where an employee resigns for reasons such as a better opportunity, dissatisfaction, or burnout; involuntary attrition, where the company terminates employment through layoffs or restructuring; and retirement. In the context of this project, attrition is recorded as a simple Yes/No indicator of whether an employee has left the company, with the analysis focused primarily on voluntary turnover, since this is the type of attrition HR departments can most directly influence and prevent.</w:t>
      </w:r>
    </w:p>
    <w:p xmlns:wp14="http://schemas.microsoft.com/office/word/2010/wordml" w14:paraId="218CDDC3" wp14:textId="77777777">
      <w:pPr>
        <w:pStyle w:val="Heading2"/>
      </w:pPr>
      <w:r>
        <w:t xml:space="preserve">2. Business Impact of Attrition</w:t>
      </w:r>
    </w:p>
    <w:p xmlns:wp14="http://schemas.microsoft.com/office/word/2010/wordml" w14:paraId="51CF2404" wp14:textId="77777777">
      <w:pPr>
        <w:spacing w:after="150"/>
      </w:pPr>
      <w:r w:rsidRPr="0ABB5F4B" w:rsidR="0ABB5F4B">
        <w:rPr>
          <w:b w:val="1"/>
          <w:bCs w:val="1"/>
          <w:lang w:val="en-US"/>
        </w:rPr>
        <w:t xml:space="preserve">Operational Impact: </w:t>
      </w:r>
      <w:r w:rsidRPr="0ABB5F4B" w:rsidR="0ABB5F4B">
        <w:rPr>
          <w:lang w:val="en-US"/>
        </w:rPr>
        <w:t>When a skilled employee leaves unexpectedly, it creates an immediate operational gap. In a production environment, HR and management must scramble to find another worker with a comparable skill set, often asking existing staff to absorb additional responsibilities on top of their own workload. This reduces overall efficiency, and there is no guarantee that a suitable replacement can be found quickly, or that the replacement will stay long-term if the workload proves overwhelming. This can create a cascading effect: overworking the remaining staff to cover the gap increases their own risk of burnout and eventual attrition, compounding the original problem.</w:t>
      </w:r>
    </w:p>
    <w:p xmlns:wp14="http://schemas.microsoft.com/office/word/2010/wordml" w14:paraId="3A43AE38" wp14:textId="77777777">
      <w:pPr>
        <w:spacing w:after="150"/>
      </w:pPr>
      <w:r>
        <w:rPr>
          <w:b/>
          <w:bCs/>
        </w:rPr>
        <w:t xml:space="preserve">Financial Impact: </w:t>
      </w:r>
      <w:r>
        <w:t xml:space="preserve">Replacing an employee costs far more than just their salary. Hidden costs include recruitment expenses (job advertisements, agency fees, interview time), training and onboarding time before the new hire becomes fully productive, lost productivity during the vacancy and ramp-up period, and overtime pay for existing staff covering the gap in the meantime.</w:t>
      </w:r>
    </w:p>
    <w:p xmlns:wp14="http://schemas.microsoft.com/office/word/2010/wordml" w14:paraId="23684B84" wp14:textId="77777777">
      <w:pPr>
        <w:spacing w:after="200"/>
      </w:pPr>
      <w:r w:rsidRPr="0ABB5F4B" w:rsidR="0ABB5F4B">
        <w:rPr>
          <w:b w:val="1"/>
          <w:bCs w:val="1"/>
          <w:lang w:val="en-US"/>
        </w:rPr>
        <w:t xml:space="preserve">Manufacturing-Specific Risk: </w:t>
      </w:r>
      <w:r w:rsidRPr="0ABB5F4B" w:rsidR="0ABB5F4B">
        <w:rPr>
          <w:lang w:val="en-US"/>
        </w:rPr>
        <w:t>Attrition carries particular risk in a manufacturing setting compared to an office environment. In an office, skills often transfer somewhat across roles, for example, a backend developer can usually make sense of frontend code in a pinch, even if imperfectly. In manufacturing, roles are frequently tied to specific machinery, certifications, or physical processes that cannot simply be "borrowed" from another line. This raises the stakes of attrition in two ways: a safety risk, since an inexperienced or overworked replacement handling unfamiliar machinery is more likely to make costly or dangerous mistakes, and a shift-based structural risk, since manufacturing often runs on shift schedules where an uncovered gap can slow or halt an entire production line rather than simply increasing someone's workload, as it might in an office.</w:t>
      </w:r>
    </w:p>
    <w:p xmlns:wp14="http://schemas.microsoft.com/office/word/2010/wordml" w14:paraId="7B09C5E8" wp14:textId="77777777">
      <w:pPr>
        <w:pStyle w:val="Heading2"/>
      </w:pPr>
      <w:r>
        <w:t xml:space="preserve">3. How Data Science Supports HR Decision-Making</w:t>
      </w:r>
    </w:p>
    <w:p xmlns:wp14="http://schemas.microsoft.com/office/word/2010/wordml" w14:paraId="5E83BB81" wp14:textId="77777777">
      <w:pPr>
        <w:spacing w:after="200"/>
      </w:pPr>
      <w:r>
        <w:t xml:space="preserve">Without data, HR decisions about attrition tend to rely on anecdotes and assumptions, a manager's gut feeling, a handful of exit interviews, or whichever complaints were loudest, rather than a full picture of the workforce. Data science replaces guesswork with evidence. It allows HR to test assumptions against actual data rather than intuition (for example, confirming whether overtime genuinely correlates with attrition, rather than merely feeling like it does), to identify patterns across the entire workforce rather than isolated cases, and to quantify relationships precisely, moving from "some people leave because of pay" to specific, measurable relationships between income and attrition. Over time, this evidence base is also what allows predictive models to be built responsibly, models that can flag at-risk employees before they resign, giving HR the opportunity to intervene early rather than reacting after the fact.</w:t>
      </w:r>
    </w:p>
    <w:p xmlns:wp14="http://schemas.microsoft.com/office/word/2010/wordml" w14:paraId="41AAEE27" wp14:textId="77777777">
      <w:pPr>
        <w:pStyle w:val="Heading2"/>
      </w:pPr>
      <w:r>
        <w:t xml:space="preserve">4. Application to This Engagement (ABC Manufacturing Ltd)</w:t>
      </w:r>
    </w:p>
    <w:p xmlns:wp14="http://schemas.microsoft.com/office/word/2010/wordml" w14:paraId="1A377BAA" wp14:textId="77777777">
      <w:pPr>
        <w:spacing w:after="200"/>
      </w:pPr>
      <w:r w:rsidRPr="0ABB5F4B" w:rsidR="0ABB5F4B">
        <w:rPr>
          <w:lang w:val="en-US"/>
        </w:rPr>
        <w:t>ABC Manufacturing Ltd has engaged AnalystLab Africa Consulting to investigate why employees are leaving before committing to a predictive machine learning solution. This sequencing is deliberate and important. Building a predictive model before understanding the underlying drivers of attrition risks producing a "black box" output, for instance, a model that predicts an employee has an 80% chance of leaving without explaining why, leaves HR with a number they cannot act on. Effective intervention requires understanding root causes: HR cannot design a policy fix, adjust a workload, or address a compensation gap without first knowing what is actually driving attrition. There is also a resource and trust dimension to this: predictive modelling requires time and investment, and skipping straight to it risks overlooking simple, fixable issues (such as excessive overtime) that do not require sophisticated ML to identify, producing unreliable results from data that was never properly understood, and undermining HR's confidence in results they cannot explain in plain terms. This is precisely why the current phase of the engagement focuses on business understanding and exploratory data analysis: it is the necessary foundation that earns the right to build a predictive model later, and ensures that when one is built, it is built on a genuine understanding of the problem rather than assumptions.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2f9cbc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56CED3D"/>
  <w15:docId w15:val="{34EA2A97-E797-45D6-AFF4-E734E8505AEC}"/>
  <w:rsids>
    <w:rsidRoot w:val="0ABB5F4B"/>
    <w:rsid w:val="0ABB5F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PRISCILLA ARHIN</lastModifiedBy>
  <revision>2</revision>
  <dcterms:created xsi:type="dcterms:W3CDTF">2026-08-04T12:47:39.6360000Z</dcterms:created>
  <dcterms:modified xsi:type="dcterms:W3CDTF">2026-08-06T17:40:17.0927579Z</dcterms:modified>
</coreProperties>
</file>

<file path=docProps/custom.xml><?xml version="1.0" encoding="utf-8"?>
<Properties xmlns="http://schemas.openxmlformats.org/officeDocument/2006/custom-properties" xmlns:vt="http://schemas.openxmlformats.org/officeDocument/2006/docPropsVTypes"/>
</file>