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Dataset Inspection Report</w:t>
      </w:r>
    </w:p>
    <w:p>
      <w:pPr>
        <w:spacing w:after="300"/>
        <w:jc w:val="center"/>
      </w:pPr>
      <w:r>
        <w:rPr>
          <w:i/>
          <w:iCs/>
        </w:rPr>
        <w:t xml:space="preserve">Employee Attrition Analysis — ABC Manufacturing Ltd</w:t>
      </w:r>
    </w:p>
    <w:p>
      <w:pPr>
        <w:spacing w:after="400"/>
        <w:jc w:val="center"/>
      </w:pPr>
      <w:r>
        <w:rPr>
          <w:sz w:val="20"/>
          <w:szCs w:val="20"/>
        </w:rPr>
        <w:t xml:space="preserve">Prepared by: Priscilla Arhin | AnalystLab Africa — Data Science Internship Programme | Week 1</w:t>
      </w:r>
    </w:p>
    <w:p>
      <w:pPr>
        <w:pStyle w:val="Heading2"/>
      </w:pPr>
      <w:r>
        <w:t xml:space="preserve">1. Dataset Overview</w:t>
      </w:r>
    </w:p>
    <w:p>
      <w:pPr>
        <w:spacing w:after="200"/>
      </w:pPr>
      <w:r>
        <w:t xml:space="preserve">The dataset used for this analysis is the IBM HR Analytics – Employee Attrition &amp; Performance dataset, sourced from Kaggle. It contains 1,470 employee records across 35 columns, combining demographic information (e.g. Age, Gender, Marital Status), job-related details (e.g. Department, Job Role, Job Level), compensation figures (e.g. Monthly Income, Daily Rate), satisfaction and performance ratings, and tenure information (e.g. Years at Company, Years in Current Role). The target variable for this analysis is Attrition, a binary Yes/No field indicating whether an employee has left the company.</w:t>
      </w:r>
    </w:p>
    <w:p>
      <w:pPr>
        <w:pStyle w:val="Heading2"/>
      </w:pPr>
      <w:r>
        <w:t xml:space="preserve">2. Data Types</w:t>
      </w:r>
    </w:p>
    <w:p>
      <w:pPr>
        <w:spacing w:after="200"/>
      </w:pPr>
      <w:r>
        <w:t xml:space="preserve">Of the 35 columns, 26 are numeric (int64) and 9 are categorical/text (object). The categorical columns are: Attrition, BusinessTravel, Department, EducationField, Gender, JobRole, MaritalStatus, Over18, and OverTime. The remaining columns are numeric, covering demographic figures, satisfaction ratings (recorded on ordinal scales, e.g. 1–4), tenure counts, and compensation figures.</w:t>
      </w:r>
    </w:p>
    <w:p>
      <w:pPr>
        <w:pStyle w:val="Heading2"/>
      </w:pPr>
      <w:r>
        <w:t xml:space="preserve">3. Missing Values and Duplicates</w:t>
      </w:r>
    </w:p>
    <w:p>
      <w:pPr>
        <w:spacing w:after="200"/>
      </w:pPr>
      <w:r>
        <w:t xml:space="preserve">The dataset was checked for missing values using df.info(), which confirmed 1,470 non-null entries across every one of the 35 columns, meaning there are no missing values anywhere in the dataset. A duplicate check using df.duplicated().sum() returned 0, confirming there are no fully duplicated rows. This is an unusually clean result for a real-world HR dataset, which is a known characteristic of this particular Kaggle dataset.</w:t>
      </w:r>
    </w:p>
    <w:p>
      <w:pPr>
        <w:pStyle w:val="Heading2"/>
      </w:pPr>
      <w:r>
        <w:t xml:space="preserve">4. Constant / Non-Informative Columns</w:t>
      </w:r>
    </w:p>
    <w:p>
      <w:pPr>
        <w:spacing w:after="150"/>
      </w:pPr>
      <w:r>
        <w:t xml:space="preserve">Three columns were identified as constant, holding the same single value for all 1,470 employees, confirmed via .nunique() and a standard deviation of 0.0 in the descriptive statistics:</w:t>
      </w:r>
    </w:p>
    <w:p>
      <w:pPr>
        <w:spacing w:after="80"/>
      </w:pPr>
      <w:r>
        <w:t xml:space="preserve">•  EmployeeCount — constant value of 1 for every employee</w:t>
      </w:r>
    </w:p>
    <w:p>
      <w:pPr>
        <w:spacing w:after="80"/>
      </w:pPr>
      <w:r>
        <w:t xml:space="preserve">•  Over18 — constant value of "Y" for every employee</w:t>
      </w:r>
    </w:p>
    <w:p>
      <w:pPr>
        <w:spacing w:after="150"/>
      </w:pPr>
      <w:r>
        <w:t xml:space="preserve">•  StandardHours — constant value of 80 for every employee</w:t>
      </w:r>
    </w:p>
    <w:p>
      <w:pPr>
        <w:spacing w:after="200"/>
      </w:pPr>
      <w:r>
        <w:t xml:space="preserve">Since these columns never vary, they carry no information that can help explain or predict attrition, and are recommended for removal before further analysis or modelling. Additionally, EmployeeNumber functions purely as a unique employee identifier and, while useful for referencing individual records, is not informative for analysis and should be excluded from statistical or visual exploration.</w:t>
      </w:r>
    </w:p>
    <w:p>
      <w:pPr>
        <w:pStyle w:val="Heading2"/>
      </w:pPr>
      <w:r>
        <w:t xml:space="preserve">5. Descriptive Statistics — Key Observations</w:t>
      </w:r>
    </w:p>
    <w:p>
      <w:pPr>
        <w:spacing w:after="80"/>
      </w:pPr>
      <w:r>
        <w:t xml:space="preserve">•  Age ranges from 18 to 60 years, with a mean of approximately 37 years — a plausible working-age range with no invalid entries.</w:t>
      </w:r>
    </w:p>
    <w:p>
      <w:pPr>
        <w:spacing w:after="80"/>
      </w:pPr>
      <w:r>
        <w:t xml:space="preserve">•  TotalWorkingYears and YearsAtCompany both max out at 40, and no employee's YearsAtCompany exceeds their TotalWorkingYears, which is internally consistent.</w:t>
      </w:r>
    </w:p>
    <w:p>
      <w:pPr>
        <w:spacing w:after="200"/>
      </w:pPr>
      <w:r>
        <w:t xml:space="preserve">•  Satisfaction-related fields (EnvironmentSatisfaction, JobSatisfaction, RelationshipSatisfaction, WorkLifeBalance) are recorded on a 1–4 ordinal scale, with means clustering around 2.7, suggesting generally moderate satisfaction levels workforce-wide.</w:t>
      </w:r>
    </w:p>
    <w:p>
      <w:pPr>
        <w:pStyle w:val="Heading2"/>
      </w:pPr>
      <w:r>
        <w:t xml:space="preserve">6. Categorical Variable Summary</w:t>
      </w:r>
    </w:p>
    <w:p>
      <w:pPr>
        <w:spacing w:after="200"/>
      </w:pPr>
      <w:r>
        <w:t xml:space="preserve">Using df.describe(include='object'), the following patterns emerged: Department has 3 categories, dominated by Research &amp; Development (961 of 1,470 employees, ~65%). JobRole has 9 categories, the most common being Sales Executive (326 employees). BusinessTravel shows most employees (1,043) fall under "Travel_Rarely". Gender is majority Male (882 of 1,470, ~60%). OverTime shows 416 employees (~28%) work overtime, a variable directly relevant to one of the assignment's business questions.</w:t>
      </w:r>
    </w:p>
    <w:p>
      <w:pPr>
        <w:pStyle w:val="Heading2"/>
      </w:pPr>
      <w:r>
        <w:t xml:space="preserve">7. Target Variable Distribution — Attrition</w:t>
      </w:r>
    </w:p>
    <w:p>
      <w:pPr>
        <w:spacing w:after="200"/>
      </w:pPr>
      <w:r>
        <w:t xml:space="preserve">The target variable, Attrition, is imbalanced: 1,233 employees (83.9%) stayed with the company, while 237 employees (16.1%) left. This class imbalance is an important consideration for the remainder of the analysis: patterns identified in the "Yes" (attrition) group are based on a relatively small subset of 237 employees, so findings should be interpreted as directional insights rather than definitive conclusions, and this imbalance would also need to be accounted for if a predictive model is built in a later phase of the project.</w:t>
      </w:r>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c>
            <w:tcPr>
              <w:tcW w:type="dxa" w:w="3000"/>
              <w:shd w:fill="D9E2F3" w:val="clear"/>
            </w:tcPr>
            <w:p>
              <w:r>
                <w:rPr>
                  <w:b/>
                  <w:bCs/>
                </w:rPr>
                <w:t xml:space="preserve">Attrition</w:t>
              </w:r>
            </w:p>
          </w:tc>
          <w:tc>
            <w:tcPr>
              <w:tcW w:type="dxa" w:w="1500"/>
              <w:shd w:fill="D9E2F3" w:val="clear"/>
            </w:tcPr>
            <w:p>
              <w:r>
                <w:rPr>
                  <w:b/>
                  <w:bCs/>
                </w:rPr>
                <w:t xml:space="preserve">Count</w:t>
              </w:r>
            </w:p>
          </w:tc>
          <w:tc>
            <w:tcPr>
              <w:tcW w:type="dxa" w:w="1500"/>
              <w:shd w:fill="D9E2F3" w:val="clear"/>
            </w:tcPr>
            <w:p>
              <w:r>
                <w:rPr>
                  <w:b/>
                  <w:bCs/>
                </w:rPr>
                <w:t xml:space="preserve">Percentage</w:t>
              </w:r>
            </w:p>
          </w:tc>
        </w:tr>
        <w:tr>
          <w:tc>
            <w:tcPr>
              <w:tcW w:type="dxa" w:w="3000"/>
            </w:tcPr>
            <w:p>
              <w:r>
                <w:t xml:space="preserve">No</w:t>
              </w:r>
            </w:p>
          </w:tc>
          <w:tc>
            <w:tcPr>
              <w:tcW w:type="dxa" w:w="1500"/>
            </w:tcPr>
            <w:p>
              <w:r>
                <w:t xml:space="preserve">1,233</w:t>
              </w:r>
            </w:p>
          </w:tc>
          <w:tc>
            <w:tcPr>
              <w:tcW w:type="dxa" w:w="1500"/>
            </w:tcPr>
            <w:p>
              <w:r>
                <w:t xml:space="preserve">83.9%</w:t>
              </w:r>
            </w:p>
          </w:tc>
        </w:tr>
        <w:tr>
          <w:tc>
            <w:tcPr>
              <w:tcW w:type="dxa" w:w="3000"/>
            </w:tcPr>
            <w:p>
              <w:r>
                <w:t xml:space="preserve">Yes</w:t>
              </w:r>
            </w:p>
          </w:tc>
          <w:tc>
            <w:tcPr>
              <w:tcW w:type="dxa" w:w="1500"/>
            </w:tcPr>
            <w:p>
              <w:r>
                <w:t xml:space="preserve">237</w:t>
              </w:r>
            </w:p>
          </w:tc>
          <w:tc>
            <w:tcPr>
              <w:tcW w:type="dxa" w:w="1500"/>
            </w:tcPr>
            <w:p>
              <w:r>
                <w:t xml:space="preserve">16.1%</w:t>
              </w:r>
            </w:p>
          </w:tc>
        </w:tr>
      </w:tbl>
    </w:p>
    <w:p/>
    <w:p>
      <w:pPr>
        <w:pStyle w:val="Heading2"/>
      </w:pPr>
      <w:r>
        <w:t xml:space="preserve">8. Summary</w:t>
      </w:r>
    </w:p>
    <w:p>
      <w:pPr>
        <w:spacing w:after="200"/>
      </w:pPr>
      <w:r>
        <w:t xml:space="preserve">Overall, the dataset is complete, clean, and well-structured, with no missing values or duplicate records to address. The main data preparation step required before deeper analysis is the removal of three constant, non-informative columns (EmployeeCount, Over18, StandardHours) and setting aside EmployeeNumber as an identifier rather than an analytical variable. The dataset is now ready for the exploratory visual analysis in Part 3, which will examine relationships between key variables (age, income, overtime, department, job role) and the Attrition outcome.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2026-08-06T13:00:04.466Z</dcterms:created>
  <dcterms:modified xsi:type="dcterms:W3CDTF">2026-08-06T13:00:04.485Z</dcterms:modified>
</cp:coreProperties>
</file>

<file path=docProps/custom.xml><?xml version="1.0" encoding="utf-8"?>
<Properties xmlns="http://schemas.openxmlformats.org/officeDocument/2006/custom-properties" xmlns:vt="http://schemas.openxmlformats.org/officeDocument/2006/docPropsVTypes"/>
</file>