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Initial Business Insights</w:t>
      </w:r>
    </w:p>
    <w:p>
      <w:pPr>
        <w:spacing w:after="300"/>
        <w:jc w:val="center"/>
      </w:pPr>
      <w:r>
        <w:rPr>
          <w:i/>
          <w:iCs/>
        </w:rPr>
        <w:t xml:space="preserve">Employee Attrition Analysis — ABC Manufacturing Ltd</w:t>
      </w:r>
    </w:p>
    <w:p>
      <w:pPr>
        <w:spacing w:after="400"/>
        <w:jc w:val="center"/>
      </w:pPr>
      <w:r>
        <w:rPr>
          <w:sz w:val="20"/>
          <w:szCs w:val="20"/>
        </w:rPr>
        <w:t xml:space="preserve">Prepared by: Priscilla Arhin | AnalystLab Africa — Data Science Internship Programme | Week 1</w:t>
      </w:r>
    </w:p>
    <w:p>
      <w:pPr>
        <w:pStyle w:val="Heading2"/>
        <w:spacing w:before="300"/>
      </w:pPr>
      <w:r>
        <w:t xml:space="preserve">1. Workforce Observations</w:t>
      </w:r>
    </w:p>
    <w:p>
      <w:pPr>
        <w:spacing w:after="150"/>
      </w:pPr>
      <w:r>
        <w:t xml:space="preserve">The following five observations describe the general composition and characteristics of ABC Manufacturing Ltd's workforce, based on the dataset as a whole.</w:t>
      </w:r>
    </w:p>
    <w:p>
      <w:pPr>
        <w:spacing w:after="80" w:before="200"/>
      </w:pPr>
      <w:r>
        <w:rPr>
          <w:b/>
          <w:bCs/>
          <w:sz w:val="24"/>
          <w:szCs w:val="24"/>
        </w:rPr>
        <w:t xml:space="preserve">1. The workforce is heavily concentrated in Research &amp; Development</w:t>
      </w:r>
    </w:p>
    <w:p>
      <w:pPr>
        <w:spacing w:after="200"/>
        <w:ind w:left="300"/>
      </w:pPr>
      <w:r>
        <w:rPr>
          <w:b/>
          <w:bCs/>
          <w:i/>
          <w:iCs/>
        </w:rPr>
        <w:t xml:space="preserve">Evidence: </w:t>
      </w:r>
      <w:r>
        <w:rPr>
          <w:i/>
          <w:iCs/>
        </w:rPr>
        <w:t xml:space="preserve">Research &amp; Development accounts for 961 of 1,470 employees (~65%), making it by far the largest department, followed by Sales and then Human Resources, which is comparatively small.</w:t>
      </w:r>
    </w:p>
    <w:p>
      <w:pPr>
        <w:spacing w:after="80" w:before="200"/>
      </w:pPr>
      <w:r>
        <w:rPr>
          <w:b/>
          <w:bCs/>
          <w:sz w:val="24"/>
          <w:szCs w:val="24"/>
        </w:rPr>
        <w:t xml:space="preserve">2. Most employees rarely travel for business</w:t>
      </w:r>
    </w:p>
    <w:p>
      <w:pPr>
        <w:spacing w:after="200"/>
        <w:ind w:left="300"/>
      </w:pPr>
      <w:r>
        <w:rPr>
          <w:b/>
          <w:bCs/>
          <w:i/>
          <w:iCs/>
        </w:rPr>
        <w:t xml:space="preserve">Evidence: </w:t>
      </w:r>
      <w:r>
        <w:rPr>
          <w:i/>
          <w:iCs/>
        </w:rPr>
        <w:t xml:space="preserve">1,043 of 1,470 employees (~71%) fall under the "Travel_Rarely" category for BusinessTravel, indicating that business travel is not a routine part of most roles at the company.</w:t>
      </w:r>
    </w:p>
    <w:p>
      <w:pPr>
        <w:spacing w:after="80" w:before="200"/>
      </w:pPr>
      <w:r>
        <w:rPr>
          <w:b/>
          <w:bCs/>
          <w:sz w:val="24"/>
          <w:szCs w:val="24"/>
        </w:rPr>
        <w:t xml:space="preserve">3. The workforce is majority male</w:t>
      </w:r>
    </w:p>
    <w:p>
      <w:pPr>
        <w:spacing w:after="200"/>
        <w:ind w:left="300"/>
      </w:pPr>
      <w:r>
        <w:rPr>
          <w:b/>
          <w:bCs/>
          <w:i/>
          <w:iCs/>
        </w:rPr>
        <w:t xml:space="preserve">Evidence: </w:t>
      </w:r>
      <w:r>
        <w:rPr>
          <w:i/>
          <w:iCs/>
        </w:rPr>
        <w:t xml:space="preserve">882 of 1,470 employees (~60%) are male, with the remaining ~40% female, based on the Gender field.</w:t>
      </w:r>
    </w:p>
    <w:p>
      <w:pPr>
        <w:spacing w:after="80" w:before="200"/>
      </w:pPr>
      <w:r>
        <w:rPr>
          <w:b/>
          <w:bCs/>
          <w:sz w:val="24"/>
          <w:szCs w:val="24"/>
        </w:rPr>
        <w:t xml:space="preserve">4. A meaningful minority of the workforce regularly works overtime</w:t>
      </w:r>
    </w:p>
    <w:p>
      <w:pPr>
        <w:spacing w:after="200"/>
        <w:ind w:left="300"/>
      </w:pPr>
      <w:r>
        <w:rPr>
          <w:b/>
          <w:bCs/>
          <w:i/>
          <w:iCs/>
        </w:rPr>
        <w:t xml:space="preserve">Evidence: </w:t>
      </w:r>
      <w:r>
        <w:rPr>
          <w:i/>
          <w:iCs/>
        </w:rPr>
        <w:t xml:space="preserve">416 of 1,470 employees (~28%) are recorded as working overtime (OverTime = Yes), meaning more than a quarter of the workforce is regularly working beyond standard hours.</w:t>
      </w:r>
    </w:p>
    <w:p>
      <w:pPr>
        <w:spacing w:after="80" w:before="200"/>
      </w:pPr>
      <w:r>
        <w:rPr>
          <w:b/>
          <w:bCs/>
          <w:sz w:val="24"/>
          <w:szCs w:val="24"/>
        </w:rPr>
        <w:t xml:space="preserve">5. Employee satisfaction levels are moderate, not high, across the board</w:t>
      </w:r>
    </w:p>
    <w:p>
      <w:pPr>
        <w:spacing w:after="200"/>
        <w:ind w:left="300"/>
      </w:pPr>
      <w:r>
        <w:rPr>
          <w:b/>
          <w:bCs/>
          <w:i/>
          <w:iCs/>
        </w:rPr>
        <w:t xml:space="preserve">Evidence: </w:t>
      </w:r>
      <w:r>
        <w:rPr>
          <w:i/>
          <w:iCs/>
        </w:rPr>
        <w:t xml:space="preserve">Satisfaction-related fields (EnvironmentSatisfaction, JobSatisfaction, RelationshipSatisfaction, WorkLifeBalance), each rated on a 1-4 scale, all show mean values clustering around 2.7, suggesting the workforce as a whole is only moderately satisfied rather than highly satisfied.</w:t>
      </w:r>
    </w:p>
    <w:p>
      <w:pPr>
        <w:pStyle w:val="Heading2"/>
        <w:spacing w:before="300"/>
      </w:pPr>
      <w:r>
        <w:t xml:space="preserve">2. Factors Contributing to Attrition</w:t>
      </w:r>
    </w:p>
    <w:p>
      <w:pPr>
        <w:spacing w:after="150"/>
      </w:pPr>
      <w:r>
        <w:t xml:space="preserve">The following five factors show a clear, evidence-backed relationship with attrition, based on the exploratory analysis conducted in Part 3.</w:t>
      </w:r>
    </w:p>
    <w:p>
      <w:pPr>
        <w:spacing w:after="80" w:before="200"/>
      </w:pPr>
      <w:r>
        <w:rPr>
          <w:b/>
          <w:bCs/>
          <w:sz w:val="24"/>
          <w:szCs w:val="24"/>
        </w:rPr>
        <w:t xml:space="preserve">1. Overtime is one of the strongest drivers of attrition</w:t>
      </w:r>
    </w:p>
    <w:p>
      <w:pPr>
        <w:spacing w:after="200"/>
        <w:ind w:left="300"/>
      </w:pPr>
      <w:r>
        <w:rPr>
          <w:b/>
          <w:bCs/>
          <w:i/>
          <w:iCs/>
        </w:rPr>
        <w:t xml:space="preserve">Evidence: </w:t>
      </w:r>
      <w:r>
        <w:rPr>
          <w:i/>
          <w:iCs/>
        </w:rPr>
        <w:t xml:space="preserve">Employees who work overtime have an attrition rate of 30.5%, compared to just 10.4% for those who do not — nearly three times higher.</w:t>
      </w:r>
    </w:p>
    <w:p>
      <w:pPr>
        <w:spacing w:after="80" w:before="200"/>
      </w:pPr>
      <w:r>
        <w:rPr>
          <w:b/>
          <w:bCs/>
          <w:sz w:val="24"/>
          <w:szCs w:val="24"/>
        </w:rPr>
        <w:t xml:space="preserve">2. Lower-income employees are significantly more likely to leave</w:t>
      </w:r>
    </w:p>
    <w:p>
      <w:pPr>
        <w:spacing w:after="200"/>
        <w:ind w:left="300"/>
      </w:pPr>
      <w:r>
        <w:rPr>
          <w:b/>
          <w:bCs/>
          <w:i/>
          <w:iCs/>
        </w:rPr>
        <w:t xml:space="preserve">Evidence: </w:t>
      </w:r>
      <w:r>
        <w:rPr>
          <w:i/>
          <w:iCs/>
        </w:rPr>
        <w:t xml:space="preserve">Employees in the lowest monthly income quartile have an attrition rate of 29.3%, compared to 10.3% in the highest quartile — almost three times higher.</w:t>
      </w:r>
    </w:p>
    <w:p>
      <w:pPr>
        <w:spacing w:after="80" w:before="200"/>
      </w:pPr>
      <w:r>
        <w:rPr>
          <w:b/>
          <w:bCs/>
          <w:sz w:val="24"/>
          <w:szCs w:val="24"/>
        </w:rPr>
        <w:t xml:space="preserve">3. Younger employees are far more likely to leave than older employees</w:t>
      </w:r>
    </w:p>
    <w:p>
      <w:pPr>
        <w:spacing w:after="200"/>
        <w:ind w:left="300"/>
      </w:pPr>
      <w:r>
        <w:rPr>
          <w:b/>
          <w:bCs/>
          <w:i/>
          <w:iCs/>
        </w:rPr>
        <w:t xml:space="preserve">Evidence: </w:t>
      </w:r>
      <w:r>
        <w:rPr>
          <w:i/>
          <w:iCs/>
        </w:rPr>
        <w:t xml:space="preserve">Employees aged 18-25 have an attrition rate of 34.8%, more than double the next age bracket (26-35, 19.1%), and nearly four times the rate of the most stable bracket (36-45, 9.2%).</w:t>
      </w:r>
    </w:p>
    <w:p>
      <w:pPr>
        <w:spacing w:after="80" w:before="200"/>
      </w:pPr>
      <w:r>
        <w:rPr>
          <w:b/>
          <w:bCs/>
          <w:sz w:val="24"/>
          <w:szCs w:val="24"/>
        </w:rPr>
        <w:t xml:space="preserve">4. Attrition risk is concentrated in specific job roles, particularly Sales Representative</w:t>
      </w:r>
    </w:p>
    <w:p>
      <w:pPr>
        <w:spacing w:after="200"/>
        <w:ind w:left="300"/>
      </w:pPr>
      <w:r>
        <w:rPr>
          <w:b/>
          <w:bCs/>
          <w:i/>
          <w:iCs/>
        </w:rPr>
        <w:t xml:space="preserve">Evidence: </w:t>
      </w:r>
      <w:r>
        <w:rPr>
          <w:i/>
          <w:iCs/>
        </w:rPr>
        <w:t xml:space="preserve">Sales Representatives have an attrition rate of 39.8%, the highest of any job role, compared to just 2.5% for Research Directors and 4.9% for Managers.</w:t>
      </w:r>
    </w:p>
    <w:p>
      <w:pPr>
        <w:spacing w:after="80" w:before="200"/>
      </w:pPr>
      <w:r>
        <w:rPr>
          <w:b/>
          <w:bCs/>
          <w:sz w:val="24"/>
          <w:szCs w:val="24"/>
        </w:rPr>
        <w:t xml:space="preserve">5. Department affects attrition risk, with Sales showing the highest rate</w:t>
      </w:r>
    </w:p>
    <w:p>
      <w:pPr>
        <w:spacing w:after="200"/>
        <w:ind w:left="300"/>
      </w:pPr>
      <w:r>
        <w:rPr>
          <w:b/>
          <w:bCs/>
          <w:i/>
          <w:iCs/>
        </w:rPr>
        <w:t xml:space="preserve">Evidence: </w:t>
      </w:r>
      <w:r>
        <w:rPr>
          <w:i/>
          <w:iCs/>
        </w:rPr>
        <w:t xml:space="preserve">Sales has the highest departmental attrition rate at 20.6%, followed by Human Resources at 19.0%, while Research &amp; Development, despite having the most total departures, has the lowest rate at 13.8%.</w:t>
      </w:r>
    </w:p>
    <w:p>
      <w:pPr>
        <w:pStyle w:val="Heading2"/>
        <w:spacing w:before="300"/>
      </w:pPr>
      <w:r>
        <w:t xml:space="preserve">3. Summary</w:t>
      </w:r>
    </w:p>
    <w:p>
      <w:pPr>
        <w:spacing w:after="150"/>
      </w:pPr>
      <w:r>
        <w:t xml:space="preserve">Taken together, these findings suggest that attrition at ABC Manufacturing Ltd is not evenly distributed across the workforce, but is concentrated among specific, identifiable groups: employees who work overtime, those in the lowest income bracket, younger employees (18-25), and those in specific roles such as Sales Representative. These overlapping risk factors, workload, compensation, age, and role, are strong candidates for further investigation and, eventually, for inclusion as predictive features if ABC Manufacturing Ltd proceeds with a machine learning model in a later phase of this engagement.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2026-08-06T17:22:54.148Z</dcterms:created>
  <dcterms:modified xsi:type="dcterms:W3CDTF">2026-08-06T17:22:54.169Z</dcterms:modified>
</cp:coreProperties>
</file>

<file path=docProps/custom.xml><?xml version="1.0" encoding="utf-8"?>
<Properties xmlns="http://schemas.openxmlformats.org/officeDocument/2006/custom-properties" xmlns:vt="http://schemas.openxmlformats.org/officeDocument/2006/docPropsVTypes"/>
</file>