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Data Dictionary</w:t>
      </w:r>
    </w:p>
    <w:p>
      <w:pPr>
        <w:spacing w:after="300"/>
        <w:jc w:val="center"/>
      </w:pPr>
      <w:r>
        <w:rPr>
          <w:i/>
          <w:iCs/>
        </w:rPr>
        <w:t xml:space="preserve">Employee Attrition Analysis, ABC Manufacturing Ltd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Priscilla Arhin | AnalystLab Africa, Data Science Internship Programme | Week 3 (first created; supersedes no prior version)</w:t>
      </w:r>
    </w:p>
    <w:p>
      <w:pPr>
        <w:spacing w:after="150"/>
      </w:pPr>
      <w:r>
        <w:t xml:space="preserve">This is the first Data Dictionary produced for this project, consolidated in Week 3 to cover both the original dataset columns (from Week 1/2) and all engineered features added across Week 2 and Week 3. It documents the Final Modelling Dataset (54 columns after encoding and scaling); the 'Type' column reflects the original variable type prior to encoding for clarity.</w:t>
      </w:r>
    </w:p>
    <w:p>
      <w:pPr>
        <w:pStyle w:val="Heading2"/>
        <w:spacing w:before="300"/>
      </w:pPr>
      <w:r>
        <w:t xml:space="preserve">Original Dataset Features</w:t>
      </w:r>
    </w:p>
    <w:p>
      <w:tbl>
        <w:tblPr>
          <w:tblW w:type="dxa" w:w="95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800"/>
          <w:gridCol w:w="1500"/>
          <w:gridCol w:w="3200"/>
          <w:gridCol w:w="3000"/>
        </w:tblGrid>
        <w:tr>
          <w:tc>
            <w:tcPr>
              <w:tcW w:type="dxa" w:w="1800"/>
              <w:shd w:fill="D9E2F3" w:val="clear"/>
            </w:tcPr>
            <w:p>
              <w:r>
                <w:rPr>
                  <w:b/>
                  <w:bCs/>
                </w:rPr>
                <w:t xml:space="preserve">Feature</w:t>
              </w:r>
            </w:p>
          </w:tc>
          <w:tc>
            <w:tcPr>
              <w:tcW w:type="dxa" w:w="1500"/>
              <w:shd w:fill="D9E2F3" w:val="clear"/>
            </w:tcPr>
            <w:p>
              <w:r>
                <w:rPr>
                  <w:b/>
                  <w:bCs/>
                </w:rPr>
                <w:t xml:space="preserve">Type</w:t>
              </w:r>
            </w:p>
          </w:tc>
          <w:tc>
            <w:tcPr>
              <w:tcW w:type="dxa" w:w="3200"/>
              <w:shd w:fill="D9E2F3" w:val="clear"/>
            </w:tcPr>
            <w:p>
              <w:r>
                <w:rPr>
                  <w:b/>
                  <w:bCs/>
                </w:rPr>
                <w:t xml:space="preserve">Description</w:t>
              </w:r>
            </w:p>
          </w:tc>
          <w:tc>
            <w:tcPr>
              <w:tcW w:type="dxa" w:w="3000"/>
              <w:shd w:fill="D9E2F3" w:val="clear"/>
            </w:tcPr>
            <w:p>
              <w:r>
                <w:rPr>
                  <w:b/>
                  <w:bCs/>
                </w:rPr>
                <w:t xml:space="preserve">Source / Notes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Age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Employee's age in years (18-60).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Attrition</w:t>
              </w:r>
            </w:p>
          </w:tc>
          <w:tc>
            <w:tcPr>
              <w:tcW w:type="dxa" w:w="1500"/>
            </w:tcPr>
            <w:p>
              <w:r>
                <w:t xml:space="preserve">Binary (target)</w:t>
              </w:r>
            </w:p>
          </w:tc>
          <w:tc>
            <w:tcPr>
              <w:tcW w:type="dxa" w:w="3200"/>
            </w:tcPr>
            <w:p>
              <w:r>
                <w:t xml:space="preserve">Whether the employee has left the company (Yes/No, encoded 1/0).</w:t>
              </w:r>
            </w:p>
          </w:tc>
          <w:tc>
            <w:tcPr>
              <w:tcW w:type="dxa" w:w="3000"/>
            </w:tcPr>
            <w:p>
              <w:r>
                <w:t xml:space="preserve">Original dataset; target variable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BusinessTravel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Frequency of business travel required for the role.</w:t>
              </w:r>
            </w:p>
          </w:tc>
          <w:tc>
            <w:tcPr>
              <w:tcW w:type="dxa" w:w="3000"/>
            </w:tcPr>
            <w:p>
              <w:r>
                <w:t xml:space="preserve">Original dataset; one-hot encoded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DailyRate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Daily pay rate.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Department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Department the employee works in.</w:t>
              </w:r>
            </w:p>
          </w:tc>
          <w:tc>
            <w:tcPr>
              <w:tcW w:type="dxa" w:w="3000"/>
            </w:tcPr>
            <w:p>
              <w:r>
                <w:t xml:space="preserve">Original dataset; one-hot encoded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DistanceFromHome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Distance between home and workplace.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Education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Education level, coded 1-5.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EducationField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Field of study.</w:t>
              </w:r>
            </w:p>
          </w:tc>
          <w:tc>
            <w:tcPr>
              <w:tcW w:type="dxa" w:w="3000"/>
            </w:tcPr>
            <w:p>
              <w:r>
                <w:t xml:space="preserve">Original dataset; one-hot encoded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EnvironmentSatisfaction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Satisfaction with work environment,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Gender</w:t>
              </w:r>
            </w:p>
          </w:tc>
          <w:tc>
            <w:tcPr>
              <w:tcW w:type="dxa" w:w="1500"/>
            </w:tcPr>
            <w:p>
              <w:r>
                <w:t xml:space="preserve">Binary</w:t>
              </w:r>
            </w:p>
          </w:tc>
          <w:tc>
            <w:tcPr>
              <w:tcW w:type="dxa" w:w="3200"/>
            </w:tcPr>
            <w:p>
              <w:r>
                <w:t xml:space="preserve">Employee gender (Male/Female, encoded 1/0).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HourlyRate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Hourly pay rate.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JobInvolvement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Level of job involvement,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JobLevel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Job seniority level, 1-5.</w:t>
              </w:r>
            </w:p>
          </w:tc>
          <w:tc>
            <w:tcPr>
              <w:tcW w:type="dxa" w:w="3000"/>
            </w:tcPr>
            <w:p>
              <w:r>
                <w:t xml:space="preserve">Original dataset; flagged in Part 5 as highly correlated with MonthlyIncome (r=0.95)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JobRole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Specific job role.</w:t>
              </w:r>
            </w:p>
          </w:tc>
          <w:tc>
            <w:tcPr>
              <w:tcW w:type="dxa" w:w="3000"/>
            </w:tcPr>
            <w:p>
              <w:r>
                <w:t xml:space="preserve">Original dataset; one-hot encoded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JobSatisfaction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Satisfaction with the job itself,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MaritalStatus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Marital status.</w:t>
              </w:r>
            </w:p>
          </w:tc>
          <w:tc>
            <w:tcPr>
              <w:tcW w:type="dxa" w:w="3000"/>
            </w:tcPr>
            <w:p>
              <w:r>
                <w:t xml:space="preserve">Original dataset; one-hot encoded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MonthlyIncome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Monthly income.</w:t>
              </w:r>
            </w:p>
          </w:tc>
          <w:tc>
            <w:tcPr>
              <w:tcW w:type="dxa" w:w="3000"/>
            </w:tcPr>
            <w:p>
              <w:r>
                <w:t xml:space="preserve">Original dataset; statistically validated attrition driver (Part 3, Test 2)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MonthlyRate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Monthly pay rate (distinct from MonthlyIncome).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NumCompaniesWorked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Number of companies worked at prior to this one.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OverTime</w:t>
              </w:r>
            </w:p>
          </w:tc>
          <w:tc>
            <w:tcPr>
              <w:tcW w:type="dxa" w:w="1500"/>
            </w:tcPr>
            <w:p>
              <w:r>
                <w:t xml:space="preserve">Binary</w:t>
              </w:r>
            </w:p>
          </w:tc>
          <w:tc>
            <w:tcPr>
              <w:tcW w:type="dxa" w:w="3200"/>
            </w:tcPr>
            <w:p>
              <w:r>
                <w:t xml:space="preserve">Whether the employee regularly works overtime (Yes/No, encoded 1/0).</w:t>
              </w:r>
            </w:p>
          </w:tc>
          <w:tc>
            <w:tcPr>
              <w:tcW w:type="dxa" w:w="3000"/>
            </w:tcPr>
            <w:p>
              <w:r>
                <w:t xml:space="preserve">Original dataset; strong company-wide attrition association (Week 1)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PercentSalaryHike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Percentage salary increase in the last review.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PerformanceRating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Performance rating,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RelationshipSatisfaction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Satisfaction with workplace relationships,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StockOptionLevel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Level of stock options granted, 0-3.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TotalWorkingYears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Total years of work experience.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TrainingTimesLastYear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Number of trainings attended last year.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WorkLifeBalance</w:t>
              </w:r>
            </w:p>
          </w:tc>
          <w:tc>
            <w:tcPr>
              <w:tcW w:type="dxa" w:w="1500"/>
            </w:tcPr>
            <w:p>
              <w:r>
                <w:t xml:space="preserve">Ordinal</w:t>
              </w:r>
            </w:p>
          </w:tc>
          <w:tc>
            <w:tcPr>
              <w:tcW w:type="dxa" w:w="3200"/>
            </w:tcPr>
            <w:p>
              <w:r>
                <w:t xml:space="preserve">Self-reported work-life balance, 1-4.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YearsAtCompany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 at the current company.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YearsInCurrentRole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 in the current role.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YearsSinceLastPromotion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 since the last promotion.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YearsWithCurrManager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 working under the current manager.</w:t>
              </w:r>
            </w:p>
          </w:tc>
          <w:tc>
            <w:tcPr>
              <w:tcW w:type="dxa" w:w="3000"/>
            </w:tcPr>
            <w:p>
              <w:r>
                <w:t xml:space="preserve">Original dataset</w:t>
              </w:r>
            </w:p>
          </w:tc>
        </w:tr>
      </w:tbl>
    </w:p>
    <w:p>
      <w:pPr>
        <w:pStyle w:val="Heading2"/>
        <w:spacing w:before="300"/>
      </w:pPr>
      <w:r>
        <w:t xml:space="preserve">Columns Removed During Cleaning (Week 2)</w:t>
      </w:r>
    </w:p>
    <w:p>
      <w:tbl>
        <w:tblPr>
          <w:tblW w:type="dxa" w:w="95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800"/>
          <w:gridCol w:w="1500"/>
          <w:gridCol w:w="3200"/>
          <w:gridCol w:w="3000"/>
        </w:tblGrid>
        <w:tr>
          <w:tc>
            <w:tcPr>
              <w:tcW w:type="dxa" w:w="1800"/>
              <w:shd w:fill="D9E2F3" w:val="clear"/>
            </w:tcPr>
            <w:p>
              <w:r>
                <w:rPr>
                  <w:b/>
                  <w:bCs/>
                </w:rPr>
                <w:t xml:space="preserve">Feature</w:t>
              </w:r>
            </w:p>
          </w:tc>
          <w:tc>
            <w:tcPr>
              <w:tcW w:type="dxa" w:w="1500"/>
              <w:shd w:fill="D9E2F3" w:val="clear"/>
            </w:tcPr>
            <w:p>
              <w:r>
                <w:rPr>
                  <w:b/>
                  <w:bCs/>
                </w:rPr>
                <w:t xml:space="preserve">Type</w:t>
              </w:r>
            </w:p>
          </w:tc>
          <w:tc>
            <w:tcPr>
              <w:tcW w:type="dxa" w:w="3200"/>
              <w:shd w:fill="D9E2F3" w:val="clear"/>
            </w:tcPr>
            <w:p>
              <w:r>
                <w:rPr>
                  <w:b/>
                  <w:bCs/>
                </w:rPr>
                <w:t xml:space="preserve">Description</w:t>
              </w:r>
            </w:p>
          </w:tc>
          <w:tc>
            <w:tcPr>
              <w:tcW w:type="dxa" w:w="3000"/>
              <w:shd w:fill="D9E2F3" w:val="clear"/>
            </w:tcPr>
            <w:p>
              <w:r>
                <w:rPr>
                  <w:b/>
                  <w:bCs/>
                </w:rPr>
                <w:t xml:space="preserve">Source / Notes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EmployeeCount</w:t>
              </w:r>
            </w:p>
          </w:tc>
          <w:tc>
            <w:tcPr>
              <w:tcW w:type="dxa" w:w="1500"/>
            </w:tcPr>
            <w:p>
              <w:r>
                <w:t xml:space="preserve">Constant</w:t>
              </w:r>
            </w:p>
          </w:tc>
          <w:tc>
            <w:tcPr>
              <w:tcW w:type="dxa" w:w="3200"/>
            </w:tcPr>
            <w:p>
              <w:r>
                <w:t xml:space="preserve">Always equal to 1 for every employee.</w:t>
              </w:r>
            </w:p>
          </w:tc>
          <w:tc>
            <w:tcPr>
              <w:tcW w:type="dxa" w:w="3000"/>
            </w:tcPr>
            <w:p>
              <w:r>
                <w:t xml:space="preserve">Removed, Week 2: no variation, no analytical value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Over18</w:t>
              </w:r>
            </w:p>
          </w:tc>
          <w:tc>
            <w:tcPr>
              <w:tcW w:type="dxa" w:w="1500"/>
            </w:tcPr>
            <w:p>
              <w:r>
                <w:t xml:space="preserve">Constant</w:t>
              </w:r>
            </w:p>
          </w:tc>
          <w:tc>
            <w:tcPr>
              <w:tcW w:type="dxa" w:w="3200"/>
            </w:tcPr>
            <w:p>
              <w:r>
                <w:t xml:space="preserve">Always equal to "Y" for every employee.</w:t>
              </w:r>
            </w:p>
          </w:tc>
          <w:tc>
            <w:tcPr>
              <w:tcW w:type="dxa" w:w="3000"/>
            </w:tcPr>
            <w:p>
              <w:r>
                <w:t xml:space="preserve">Removed, Week 2: no variation, no analytical value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StandardHours</w:t>
              </w:r>
            </w:p>
          </w:tc>
          <w:tc>
            <w:tcPr>
              <w:tcW w:type="dxa" w:w="1500"/>
            </w:tcPr>
            <w:p>
              <w:r>
                <w:t xml:space="preserve">Constant</w:t>
              </w:r>
            </w:p>
          </w:tc>
          <w:tc>
            <w:tcPr>
              <w:tcW w:type="dxa" w:w="3200"/>
            </w:tcPr>
            <w:p>
              <w:r>
                <w:t xml:space="preserve">Always equal to 80 for every employee.</w:t>
              </w:r>
            </w:p>
          </w:tc>
          <w:tc>
            <w:tcPr>
              <w:tcW w:type="dxa" w:w="3000"/>
            </w:tcPr>
            <w:p>
              <w:r>
                <w:t xml:space="preserve">Removed, Week 2: no variation, no analytical value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EmployeeNumber</w:t>
              </w:r>
            </w:p>
          </w:tc>
          <w:tc>
            <w:tcPr>
              <w:tcW w:type="dxa" w:w="1500"/>
            </w:tcPr>
            <w:p>
              <w:r>
                <w:t xml:space="preserve">Identifier</w:t>
              </w:r>
            </w:p>
          </w:tc>
          <w:tc>
            <w:tcPr>
              <w:tcW w:type="dxa" w:w="3200"/>
            </w:tcPr>
            <w:p>
              <w:r>
                <w:t xml:space="preserve">Unique employee ID.</w:t>
              </w:r>
            </w:p>
          </w:tc>
          <w:tc>
            <w:tcPr>
              <w:tcW w:type="dxa" w:w="3000"/>
            </w:tcPr>
            <w:p>
              <w:r>
                <w:t xml:space="preserve">Removed, Week 2: identifier, not predictive</w:t>
              </w:r>
            </w:p>
          </w:tc>
        </w:tr>
      </w:tbl>
    </w:p>
    <w:p>
      <w:pPr>
        <w:pStyle w:val="Heading2"/>
        <w:spacing w:before="300"/>
      </w:pPr>
      <w:r>
        <w:t xml:space="preserve">Engineered Features (Week 2)</w:t>
      </w:r>
    </w:p>
    <w:p>
      <w:tbl>
        <w:tblPr>
          <w:tblW w:type="dxa" w:w="95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800"/>
          <w:gridCol w:w="1500"/>
          <w:gridCol w:w="3200"/>
          <w:gridCol w:w="3000"/>
        </w:tblGrid>
        <w:tr>
          <w:tc>
            <w:tcPr>
              <w:tcW w:type="dxa" w:w="1800"/>
              <w:shd w:fill="D9E2F3" w:val="clear"/>
            </w:tcPr>
            <w:p>
              <w:r>
                <w:rPr>
                  <w:b/>
                  <w:bCs/>
                </w:rPr>
                <w:t xml:space="preserve">Feature</w:t>
              </w:r>
            </w:p>
          </w:tc>
          <w:tc>
            <w:tcPr>
              <w:tcW w:type="dxa" w:w="1500"/>
              <w:shd w:fill="D9E2F3" w:val="clear"/>
            </w:tcPr>
            <w:p>
              <w:r>
                <w:rPr>
                  <w:b/>
                  <w:bCs/>
                </w:rPr>
                <w:t xml:space="preserve">Type</w:t>
              </w:r>
            </w:p>
          </w:tc>
          <w:tc>
            <w:tcPr>
              <w:tcW w:type="dxa" w:w="3200"/>
              <w:shd w:fill="D9E2F3" w:val="clear"/>
            </w:tcPr>
            <w:p>
              <w:r>
                <w:rPr>
                  <w:b/>
                  <w:bCs/>
                </w:rPr>
                <w:t xml:space="preserve">Description</w:t>
              </w:r>
            </w:p>
          </w:tc>
          <w:tc>
            <w:tcPr>
              <w:tcW w:type="dxa" w:w="3000"/>
              <w:shd w:fill="D9E2F3" w:val="clear"/>
            </w:tcPr>
            <w:p>
              <w:r>
                <w:rPr>
                  <w:b/>
                  <w:bCs/>
                </w:rPr>
                <w:t xml:space="preserve">Source / Notes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AverageSatisfaction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Mean of EnvironmentSatisfaction, JobSatisfaction, RelationshipSatisfaction, and WorkLifeBalance.</w:t>
              </w:r>
            </w:p>
          </w:tc>
          <w:tc>
            <w:tcPr>
              <w:tcW w:type="dxa" w:w="3000"/>
            </w:tcPr>
            <w:p>
              <w:r>
                <w:t xml:space="preserve">Engineered, Week 2; retained per Part 5 evaluation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IncomePerExperienceYear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MonthlyIncome divided by TotalWorkingYears.</w:t>
              </w:r>
            </w:p>
          </w:tc>
          <w:tc>
            <w:tcPr>
              <w:tcW w:type="dxa" w:w="3000"/>
            </w:tcPr>
            <w:p>
              <w:r>
                <w:t xml:space="preserve">Engineered, Week 2; retained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AgeGroup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Age binned into 18-25, 26-35, 36-45, 46-55, 56-60.</w:t>
              </w:r>
            </w:p>
          </w:tc>
          <w:tc>
            <w:tcPr>
              <w:tcW w:type="dxa" w:w="3000"/>
            </w:tcPr>
            <w:p>
              <w:r>
                <w:t xml:space="preserve">Engineered, Week 2; one-hot encoded; retained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TenureRatio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YearsAtCompany divided by TotalWorkingYears.</w:t>
              </w:r>
            </w:p>
          </w:tc>
          <w:tc>
            <w:tcPr>
              <w:tcW w:type="dxa" w:w="3000"/>
            </w:tcPr>
            <w:p>
              <w:r>
                <w:t xml:space="preserve">Engineered, Week 2; REMOVED, Week 3 Part 5 (r = -0.016 with Attrition)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PromotionStagnationRatio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YearsSinceLastPromotion divided by YearsAtCompany.</w:t>
              </w:r>
            </w:p>
          </w:tc>
          <w:tc>
            <w:tcPr>
              <w:tcW w:type="dxa" w:w="3000"/>
            </w:tcPr>
            <w:p>
              <w:r>
                <w:t xml:space="preserve">Engineered, Week 2; REMOVED, Week 3 Part 5 (r = 0.03 with Attrition; contradicted by EDA)</w:t>
              </w:r>
            </w:p>
          </w:tc>
        </w:tr>
      </w:tbl>
    </w:p>
    <w:p>
      <w:pPr>
        <w:pStyle w:val="Heading2"/>
        <w:spacing w:before="300"/>
      </w:pPr>
      <w:r>
        <w:t xml:space="preserve">Engineered Features (Week 3)</w:t>
      </w:r>
    </w:p>
    <w:p>
      <w:tbl>
        <w:tblPr>
          <w:tblW w:type="dxa" w:w="95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800"/>
          <w:gridCol w:w="1500"/>
          <w:gridCol w:w="3200"/>
          <w:gridCol w:w="3000"/>
        </w:tblGrid>
        <w:tr>
          <w:tc>
            <w:tcPr>
              <w:tcW w:type="dxa" w:w="1800"/>
              <w:shd w:fill="D9E2F3" w:val="clear"/>
            </w:tcPr>
            <w:p>
              <w:r>
                <w:rPr>
                  <w:b/>
                  <w:bCs/>
                </w:rPr>
                <w:t xml:space="preserve">Feature</w:t>
              </w:r>
            </w:p>
          </w:tc>
          <w:tc>
            <w:tcPr>
              <w:tcW w:type="dxa" w:w="1500"/>
              <w:shd w:fill="D9E2F3" w:val="clear"/>
            </w:tcPr>
            <w:p>
              <w:r>
                <w:rPr>
                  <w:b/>
                  <w:bCs/>
                </w:rPr>
                <w:t xml:space="preserve">Type</w:t>
              </w:r>
            </w:p>
          </w:tc>
          <w:tc>
            <w:tcPr>
              <w:tcW w:type="dxa" w:w="3200"/>
              <w:shd w:fill="D9E2F3" w:val="clear"/>
            </w:tcPr>
            <w:p>
              <w:r>
                <w:rPr>
                  <w:b/>
                  <w:bCs/>
                </w:rPr>
                <w:t xml:space="preserve">Description</w:t>
              </w:r>
            </w:p>
          </w:tc>
          <w:tc>
            <w:tcPr>
              <w:tcW w:type="dxa" w:w="3000"/>
              <w:shd w:fill="D9E2F3" w:val="clear"/>
            </w:tcPr>
            <w:p>
              <w:r>
                <w:rPr>
                  <w:b/>
                  <w:bCs/>
                </w:rPr>
                <w:t xml:space="preserve">Source / Notes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HighRiskProfile</w:t>
              </w:r>
            </w:p>
          </w:tc>
          <w:tc>
            <w:tcPr>
              <w:tcW w:type="dxa" w:w="1500"/>
            </w:tcPr>
            <w:p>
              <w:r>
                <w:t xml:space="preserve">Binary flag</w:t>
              </w:r>
            </w:p>
          </w:tc>
          <w:tc>
            <w:tcPr>
              <w:tcW w:type="dxa" w:w="3200"/>
            </w:tcPr>
            <w:p>
              <w:r>
                <w:t xml:space="preserve">1 if Age &lt;= 35 AND MonthlyIncome below median AND TotalWorkingYears &lt;= 10; else 0.</w:t>
              </w:r>
            </w:p>
          </w:tc>
          <w:tc>
            <w:tcPr>
              <w:tcW w:type="dxa" w:w="3000"/>
            </w:tcPr>
            <w:p>
              <w:r>
                <w:t xml:space="preserve">Engineered, Week 3; retained (r = 0.20 with Attrition, stronger than individual components)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LogMonthlyIncome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Natural log of MonthlyIncome.</w:t>
              </w:r>
            </w:p>
          </w:tc>
          <w:tc>
            <w:tcPr>
              <w:tcW w:type="dxa" w:w="3000"/>
            </w:tcPr>
            <w:p>
              <w:r>
                <w:t xml:space="preserve">Engineered, Week 3; retained (reduces skewness from 1.37 to 0.29)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JobHopRate</w:t>
              </w:r>
            </w:p>
          </w:tc>
          <w:tc>
            <w:tcPr>
              <w:tcW w:type="dxa" w:w="1500"/>
            </w:tcPr>
            <w:p>
              <w:r>
                <w:t xml:space="preserve">Numeric</w:t>
              </w:r>
            </w:p>
          </w:tc>
          <w:tc>
            <w:tcPr>
              <w:tcW w:type="dxa" w:w="3200"/>
            </w:tcPr>
            <w:p>
              <w:r>
                <w:t xml:space="preserve">NumCompaniesWorked divided by (TotalWorkingYears + 1).</w:t>
              </w:r>
            </w:p>
          </w:tc>
          <w:tc>
            <w:tcPr>
              <w:tcW w:type="dxa" w:w="3000"/>
            </w:tcPr>
            <w:p>
              <w:r>
                <w:t xml:space="preserve">Engineered, Week 3; retained (clearer attrition gap than raw count)</w:t>
              </w:r>
            </w:p>
          </w:tc>
        </w:tr>
        <w:tr>
          <w:tc>
            <w:tcPr>
              <w:tcW w:type="dxa" w:w="1800"/>
            </w:tcPr>
            <w:p>
              <w:r>
                <w:t xml:space="preserve">IncomeBand</w:t>
              </w:r>
            </w:p>
          </w:tc>
          <w:tc>
            <w:tcPr>
              <w:tcW w:type="dxa" w:w="1500"/>
            </w:tcPr>
            <w:p>
              <w:r>
                <w:t xml:space="preserve">Categorical</w:t>
              </w:r>
            </w:p>
          </w:tc>
          <w:tc>
            <w:tcPr>
              <w:tcW w:type="dxa" w:w="3200"/>
            </w:tcPr>
            <w:p>
              <w:r>
                <w:t xml:space="preserve">MonthlyIncome divided into Low/Medium/High/Very High quartile bands.</w:t>
              </w:r>
            </w:p>
          </w:tc>
          <w:tc>
            <w:tcPr>
              <w:tcW w:type="dxa" w:w="3000"/>
            </w:tcPr>
            <w:p>
              <w:r>
                <w:t xml:space="preserve">Engineered, Week 3; retained for reporting only, EXCLUDED from Final Modelling Dataset (redundant with MonthlyIncome/LogMonthlyIncome)</w:t>
              </w:r>
            </w:p>
          </w:tc>
        </w:tr>
      </w:tbl>
    </w:p>
    <w:p>
      <w:pPr>
        <w:pStyle w:val="Heading2"/>
        <w:spacing w:before="300"/>
      </w:pPr>
      <w:r>
        <w:t xml:space="preserve">Notes</w:t>
      </w:r>
    </w:p>
    <w:p>
      <w:pPr>
        <w:spacing w:after="150"/>
      </w:pPr>
      <w:r>
        <w:t xml:space="preserve">All categorical columns listed above are one-hot encoded in the Final Modelling Dataset (with the first category of each dropped to avoid redundancy). All numeric, non-binary columns are standardised (mean 0, standard deviation 1) using StandardScaler. The final dataset contains 1,470 rows and 54 columns, fully numeric and free of missing values.</w:t>
      </w:r>
    </w:p>
    <w:sectPr>
      <w:pgSz w:w="12240" w:h="15840" w:orient="portrait"/>
      <w:pgMar w:top="1440" w:right="720" w:bottom="1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2026-08-23T20:17:25.577Z</dcterms:created>
  <dcterms:modified xsi:type="dcterms:W3CDTF">2026-08-23T20:17:25.597Z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