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Feature Engineering Documentation</w:t>
      </w:r>
    </w:p>
    <w:p>
      <w:pPr>
        <w:spacing w:after="300"/>
        <w:jc w:val="center"/>
      </w:pPr>
      <w:r>
        <w:rPr>
          <w:i/>
          <w:iCs/>
        </w:rPr>
        <w:t xml:space="preserve">Employee Attrition Analysis, ABC Manufacturing Ltd</w:t>
      </w:r>
    </w:p>
    <w:p>
      <w:pPr>
        <w:spacing w:after="400"/>
        <w:jc w:val="center"/>
      </w:pPr>
      <w:r>
        <w:rPr>
          <w:sz w:val="20"/>
          <w:szCs w:val="20"/>
        </w:rPr>
        <w:t xml:space="preserve">Prepared by: Priscilla Arhin | AnalystLab Africa, Data Science Internship Programme | Week 3</w:t>
      </w:r>
    </w:p>
    <w:p>
      <w:pPr>
        <w:spacing w:after="150"/>
      </w:pPr>
      <w:r>
        <w:t xml:space="preserve">This document describes four new features engineered during Week 3, building directly on patterns identified in the Week 3 Advanced EDA (Part 2) and statistical testing (Part 3). These are in addition to, not a replacement for, the five features already engineered in Week 2 (AverageSatisfaction, TenureRatio, IncomePerExperienceYear, AgeGroup, PromotionStagnationRatio).</w:t>
      </w:r>
    </w:p>
    <w:p>
      <w:pPr>
        <w:spacing w:after="80" w:before="200"/>
      </w:pPr>
      <w:r>
        <w:rPr>
          <w:b/>
          <w:bCs/>
          <w:sz w:val="24"/>
          <w:szCs w:val="24"/>
        </w:rPr>
        <w:t xml:space="preserve">Feature 1: HighRiskProfile</w:t>
      </w:r>
    </w:p>
    <w:p>
      <w:pPr>
        <w:spacing w:after="20" w:before="80"/>
      </w:pPr>
      <w:r>
        <w:rPr>
          <w:b/>
          <w:bCs/>
        </w:rPr>
        <w:t xml:space="preserve">How It Was Created:</w:t>
      </w:r>
    </w:p>
    <w:p>
      <w:pPr>
        <w:spacing w:after="150"/>
      </w:pPr>
      <w:r>
        <w:t xml:space="preserve">A binary flag (1/0) set to 1 when an employee meets all three conditions simultaneously: Age &lt;= 35, MonthlyIncome below the company median, and TotalWorkingYears &lt;= 10.</w:t>
      </w:r>
    </w:p>
    <w:p>
      <w:pPr>
        <w:spacing w:after="20" w:before="80"/>
      </w:pPr>
      <w:r>
        <w:rPr>
          <w:b/>
          <w:bCs/>
        </w:rPr>
        <w:t xml:space="preserve">Why It Was Created:</w:t>
      </w:r>
    </w:p>
    <w:p>
      <w:pPr>
        <w:spacing w:after="150"/>
      </w:pPr>
      <w:r>
        <w:t xml:space="preserve">The Week 3 Advanced EDA pair plot and Age/Income scatter plot showed that employees who left were not simply young, or simply low-paid, or simply less experienced in isolation, but tended to be young, low-paid, and less experienced all at once. A single combined flag captures this compounding pattern more directly than three separate features would.</w:t>
      </w:r>
    </w:p>
    <w:p>
      <w:pPr>
        <w:spacing w:after="20" w:before="80"/>
      </w:pPr>
      <w:r>
        <w:rPr>
          <w:b/>
          <w:bCs/>
        </w:rPr>
        <w:t xml:space="preserve">Business Meaning:</w:t>
      </w:r>
    </w:p>
    <w:p>
      <w:pPr>
        <w:spacing w:after="150"/>
      </w:pPr>
      <w:r>
        <w:t xml:space="preserve">Identifies a specific, high-risk segment of the workforce, early-career, lower-paid employees, that HR could proactively target with retention efforts (mentorship, accelerated development paths, review of entry-level pay).</w:t>
      </w:r>
    </w:p>
    <w:p>
      <w:pPr>
        <w:spacing w:after="20" w:before="80"/>
      </w:pPr>
      <w:r>
        <w:rPr>
          <w:b/>
          <w:bCs/>
        </w:rPr>
        <w:t xml:space="preserve">Evidence Supporting Its Value:</w:t>
      </w:r>
    </w:p>
    <w:p>
      <w:pPr>
        <w:spacing w:after="150"/>
      </w:pPr>
      <w:r>
        <w:t xml:space="preserve">Employees flagged as HighRiskProfile have a 27.0% attrition rate, compared to 11.4% for everyone else, a difference of more than 2 times.</w:t>
      </w:r>
    </w:p>
    <w:p>
      <w:pPr>
        <w:spacing w:after="20" w:before="80"/>
      </w:pPr>
      <w:r>
        <w:rPr>
          <w:b/>
          <w:bCs/>
        </w:rPr>
        <w:t xml:space="preserve">Potential Value for Modelling:</w:t>
      </w:r>
    </w:p>
    <w:p>
      <w:pPr>
        <w:spacing w:after="150"/>
      </w:pPr>
      <w:r>
        <w:t xml:space="preserve">A strong candidate predictive feature, since it directly encodes an interaction effect that individual features (Age, MonthlyIncome, TotalWorkingYears) would each only partially capture on their own.</w:t>
      </w:r>
    </w:p>
    <w:p>
      <w:pPr>
        <w:spacing w:after="80" w:before="200"/>
      </w:pPr>
      <w:r>
        <w:rPr>
          <w:b/>
          <w:bCs/>
          <w:sz w:val="24"/>
          <w:szCs w:val="24"/>
        </w:rPr>
        <w:t xml:space="preserve">Feature 2: LogMonthlyIncome</w:t>
      </w:r>
    </w:p>
    <w:p>
      <w:pPr>
        <w:spacing w:after="20" w:before="80"/>
      </w:pPr>
      <w:r>
        <w:rPr>
          <w:b/>
          <w:bCs/>
        </w:rPr>
        <w:t xml:space="preserve">How It Was Created:</w:t>
      </w:r>
    </w:p>
    <w:p>
      <w:pPr>
        <w:spacing w:after="150"/>
      </w:pPr>
      <w:r>
        <w:t xml:space="preserve">The natural logarithm of MonthlyIncome (np.log(MonthlyIncome)).</w:t>
      </w:r>
    </w:p>
    <w:p>
      <w:pPr>
        <w:spacing w:after="20" w:before="80"/>
      </w:pPr>
      <w:r>
        <w:rPr>
          <w:b/>
          <w:bCs/>
        </w:rPr>
        <w:t xml:space="preserve">Why It Was Created:</w:t>
      </w:r>
    </w:p>
    <w:p>
      <w:pPr>
        <w:spacing w:after="150"/>
      </w:pPr>
      <w:r>
        <w:t xml:space="preserve">The Week 3 Advanced EDA formally measured Monthly Income's skewness at 1.37, confirming the strong right-skew already suspected from the Shapiro-Wilk normality tests in Part 3. Highly skewed numeric features can disproportionately influence, or be poorly handled by, certain machine learning algorithms (e.g. linear and logistic regression assume roughly normal residuals).</w:t>
      </w:r>
    </w:p>
    <w:p>
      <w:pPr>
        <w:spacing w:after="20" w:before="80"/>
      </w:pPr>
      <w:r>
        <w:rPr>
          <w:b/>
          <w:bCs/>
        </w:rPr>
        <w:t xml:space="preserve">Business Meaning:</w:t>
      </w:r>
    </w:p>
    <w:p>
      <w:pPr>
        <w:spacing w:after="150"/>
      </w:pPr>
      <w:r>
        <w:t xml:space="preserve">Represents income on a scale where equal steps correspond to equal percentage changes in pay, rather than equal currency amounts, arguably a more meaningful way to compare a large raise for a low earner against a small raise for a high earner.</w:t>
      </w:r>
    </w:p>
    <w:p>
      <w:pPr>
        <w:spacing w:after="20" w:before="80"/>
      </w:pPr>
      <w:r>
        <w:rPr>
          <w:b/>
          <w:bCs/>
        </w:rPr>
        <w:t xml:space="preserve">Evidence Supporting Its Value:</w:t>
      </w:r>
    </w:p>
    <w:p>
      <w:pPr>
        <w:spacing w:after="150"/>
      </w:pPr>
      <w:r>
        <w:t xml:space="preserve">The transformation reduced skewness from 1.37 to 0.29, a substantial improvement toward a more symmetric, workable distribution.</w:t>
      </w:r>
    </w:p>
    <w:p>
      <w:pPr>
        <w:spacing w:after="20" w:before="80"/>
      </w:pPr>
      <w:r>
        <w:rPr>
          <w:b/>
          <w:bCs/>
        </w:rPr>
        <w:t xml:space="preserve">Potential Value for Modelling:</w:t>
      </w:r>
    </w:p>
    <w:p>
      <w:pPr>
        <w:spacing w:after="150"/>
      </w:pPr>
      <w:r>
        <w:t xml:space="preserve">Likely to improve the performance and stability of linear-model-based algorithms in Week 4, without discarding any information from the original MonthlyIncome feature.</w:t>
      </w:r>
    </w:p>
    <w:p>
      <w:pPr>
        <w:spacing w:after="80" w:before="200"/>
      </w:pPr>
      <w:r>
        <w:rPr>
          <w:b/>
          <w:bCs/>
          <w:sz w:val="24"/>
          <w:szCs w:val="24"/>
        </w:rPr>
        <w:t xml:space="preserve">Feature 3: JobHopRate</w:t>
      </w:r>
    </w:p>
    <w:p>
      <w:pPr>
        <w:spacing w:after="20" w:before="80"/>
      </w:pPr>
      <w:r>
        <w:rPr>
          <w:b/>
          <w:bCs/>
        </w:rPr>
        <w:t xml:space="preserve">How It Was Created:</w:t>
      </w:r>
    </w:p>
    <w:p>
      <w:pPr>
        <w:spacing w:after="150"/>
      </w:pPr>
      <w:r>
        <w:t xml:space="preserve">NumCompaniesWorked divided by (TotalWorkingYears + 1). Adding 1 to the denominator avoids division by zero for employees with little or no prior work history.</w:t>
      </w:r>
    </w:p>
    <w:p>
      <w:pPr>
        <w:spacing w:after="20" w:before="80"/>
      </w:pPr>
      <w:r>
        <w:rPr>
          <w:b/>
          <w:bCs/>
        </w:rPr>
        <w:t xml:space="preserve">Why It Was Created:</w:t>
      </w:r>
    </w:p>
    <w:p>
      <w:pPr>
        <w:spacing w:after="150"/>
      </w:pPr>
      <w:r>
        <w:t xml:space="preserve">The Week 3 Advanced EDA examined NumCompaniesWorked on its own and found only a mild difference between attrition groups (2.94 vs 2.65 companies). However, a raw count treats an employee with 3 companies in 5 years the same as one with 3 companies in 20 years, even though these represent very different job-change frequencies. Expressing this as a rate relative to career length was expected to sharpen the signal.</w:t>
      </w:r>
    </w:p>
    <w:p>
      <w:pPr>
        <w:spacing w:after="20" w:before="80"/>
      </w:pPr>
      <w:r>
        <w:rPr>
          <w:b/>
          <w:bCs/>
        </w:rPr>
        <w:t xml:space="preserve">Business Meaning:</w:t>
      </w:r>
    </w:p>
    <w:p>
      <w:pPr>
        <w:spacing w:after="150"/>
      </w:pPr>
      <w:r>
        <w:t xml:space="preserve">Captures how frequently an employee has changed jobs relative to their career length, a proxy for job-market mobility or a pattern of shorter tenures, which may indicate a lower likelihood of staying long-term regardless of any specific dissatisfaction with this employer.</w:t>
      </w:r>
    </w:p>
    <w:p>
      <w:pPr>
        <w:spacing w:after="20" w:before="80"/>
      </w:pPr>
      <w:r>
        <w:rPr>
          <w:b/>
          <w:bCs/>
        </w:rPr>
        <w:t xml:space="preserve">Evidence Supporting Its Value:</w:t>
      </w:r>
    </w:p>
    <w:p>
      <w:pPr>
        <w:spacing w:after="150"/>
      </w:pPr>
      <w:r>
        <w:t xml:space="preserve">Employees who left have a notably higher average JobHopRate (0.41) than those who stayed (0.25), a clearer separation than the raw NumCompaniesWorked count alone showed.</w:t>
      </w:r>
    </w:p>
    <w:p>
      <w:pPr>
        <w:spacing w:after="20" w:before="80"/>
      </w:pPr>
      <w:r>
        <w:rPr>
          <w:b/>
          <w:bCs/>
        </w:rPr>
        <w:t xml:space="preserve">Potential Value for Modelling:</w:t>
      </w:r>
    </w:p>
    <w:p>
      <w:pPr>
        <w:spacing w:after="150"/>
      </w:pPr>
      <w:r>
        <w:t xml:space="preserve">A more informative version of an existing raw feature; worth evaluating in Part 5 against NumCompaniesWorked directly to determine whether it should replace or supplement the original.</w:t>
      </w:r>
    </w:p>
    <w:p>
      <w:pPr>
        <w:spacing w:after="80" w:before="200"/>
      </w:pPr>
      <w:r>
        <w:rPr>
          <w:b/>
          <w:bCs/>
          <w:sz w:val="24"/>
          <w:szCs w:val="24"/>
        </w:rPr>
        <w:t xml:space="preserve">Feature 4: IncomeBand</w:t>
      </w:r>
    </w:p>
    <w:p>
      <w:pPr>
        <w:spacing w:after="20" w:before="80"/>
      </w:pPr>
      <w:r>
        <w:rPr>
          <w:b/>
          <w:bCs/>
        </w:rPr>
        <w:t xml:space="preserve">How It Was Created:</w:t>
      </w:r>
    </w:p>
    <w:p>
      <w:pPr>
        <w:spacing w:after="150"/>
      </w:pPr>
      <w:r>
        <w:t xml:space="preserve">MonthlyIncome divided into four business-friendly quartile categories using pd.qcut: Low, Medium, High, and Very High.</w:t>
      </w:r>
    </w:p>
    <w:p>
      <w:pPr>
        <w:spacing w:after="20" w:before="80"/>
      </w:pPr>
      <w:r>
        <w:rPr>
          <w:b/>
          <w:bCs/>
        </w:rPr>
        <w:t xml:space="preserve">Why It Was Created:</w:t>
      </w:r>
    </w:p>
    <w:p>
      <w:pPr>
        <w:spacing w:after="150"/>
      </w:pPr>
      <w:r>
        <w:t xml:space="preserve">While MonthlyIncome as a continuous number is useful for models, it is harder for non-technical stakeholders to interpret at a glance. Binning into labelled bands echoes the quartile-based analysis already performed descriptively in Week 1, formalising it as a reusable feature.</w:t>
      </w:r>
    </w:p>
    <w:p>
      <w:pPr>
        <w:spacing w:after="20" w:before="80"/>
      </w:pPr>
      <w:r>
        <w:rPr>
          <w:b/>
          <w:bCs/>
        </w:rPr>
        <w:t xml:space="preserve">Business Meaning:</w:t>
      </w:r>
    </w:p>
    <w:p>
      <w:pPr>
        <w:spacing w:after="150"/>
      </w:pPr>
      <w:r>
        <w:t xml:space="preserve">Gives HR and management an intuitive, plain-language way to talk about compensation risk (e.g. "employees in the Low income band") without needing to reference specific currency thresholds.</w:t>
      </w:r>
    </w:p>
    <w:p>
      <w:pPr>
        <w:spacing w:after="20" w:before="80"/>
      </w:pPr>
      <w:r>
        <w:rPr>
          <w:b/>
          <w:bCs/>
        </w:rPr>
        <w:t xml:space="preserve">Evidence Supporting Its Value:</w:t>
      </w:r>
    </w:p>
    <w:p>
      <w:pPr>
        <w:spacing w:after="150"/>
      </w:pPr>
      <w:r>
        <w:t xml:space="preserve">Attrition rate falls from 29.3% (Low) to 10.3% (Very High) across the four bands, consistent with, and confirming, the Week 1 quartile-based finding.</w:t>
      </w:r>
    </w:p>
    <w:p>
      <w:pPr>
        <w:spacing w:after="20" w:before="80"/>
      </w:pPr>
      <w:r>
        <w:rPr>
          <w:b/>
          <w:bCs/>
        </w:rPr>
        <w:t xml:space="preserve">Potential Value for Modelling:</w:t>
      </w:r>
    </w:p>
    <w:p>
      <w:pPr>
        <w:spacing w:after="150"/>
      </w:pPr>
      <w:r>
        <w:t xml:space="preserve">Useful primarily for reporting and stakeholder communication; for modelling purposes, the continuous MonthlyIncome or LogMonthlyIncome features likely carry more granular predictive information, so IncomeBand is retained mainly as an interpretability aid rather than a primary model input (evaluated further in Part 5).</w:t>
      </w:r>
    </w:p>
    <w:p>
      <w:pPr>
        <w:pStyle w:val="Heading2"/>
        <w:spacing w:before="300"/>
      </w:pPr>
      <w:r>
        <w:t xml:space="preserve">Summary Table</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c>
            <w:tcPr>
              <w:tcW w:type="dxa" w:w="2200"/>
              <w:shd w:fill="D9E2F3" w:val="clear"/>
            </w:tcPr>
            <w:p>
              <w:r>
                <w:rPr>
                  <w:b/>
                  <w:bCs/>
                </w:rPr>
                <w:t xml:space="preserve">Feature</w:t>
              </w:r>
            </w:p>
          </w:tc>
          <w:tc>
            <w:tcPr>
              <w:tcW w:type="dxa" w:w="4300"/>
              <w:shd w:fill="D9E2F3" w:val="clear"/>
            </w:tcPr>
            <w:p>
              <w:r>
                <w:rPr>
                  <w:b/>
                  <w:bCs/>
                </w:rPr>
                <w:t xml:space="preserve">Type</w:t>
              </w:r>
            </w:p>
          </w:tc>
          <w:tc>
            <w:tcPr>
              <w:tcW w:type="dxa" w:w="3000"/>
              <w:shd w:fill="D9E2F3" w:val="clear"/>
            </w:tcPr>
            <w:p>
              <w:r>
                <w:rPr>
                  <w:b/>
                  <w:bCs/>
                </w:rPr>
                <w:t xml:space="preserve">Key Evidence</w:t>
              </w:r>
            </w:p>
          </w:tc>
        </w:tr>
        <w:tr>
          <w:tc>
            <w:tcPr>
              <w:tcW w:type="dxa" w:w="2200"/>
            </w:tcPr>
            <w:p>
              <w:r>
                <w:t xml:space="preserve">HighRiskProfile</w:t>
              </w:r>
            </w:p>
          </w:tc>
          <w:tc>
            <w:tcPr>
              <w:tcW w:type="dxa" w:w="4300"/>
            </w:tcPr>
            <w:p>
              <w:r>
                <w:t xml:space="preserve">Binary interaction flag (Age, Income, Experience)</w:t>
              </w:r>
            </w:p>
          </w:tc>
          <w:tc>
            <w:tcPr>
              <w:tcW w:type="dxa" w:w="3000"/>
            </w:tcPr>
            <w:p>
              <w:r>
                <w:t xml:space="preserve">27.0% vs 11.4% attrition</w:t>
              </w:r>
            </w:p>
          </w:tc>
        </w:tr>
        <w:tr>
          <w:tc>
            <w:tcPr>
              <w:tcW w:type="dxa" w:w="2200"/>
            </w:tcPr>
            <w:p>
              <w:r>
                <w:t xml:space="preserve">LogMonthlyIncome</w:t>
              </w:r>
            </w:p>
          </w:tc>
          <w:tc>
            <w:tcPr>
              <w:tcW w:type="dxa" w:w="4300"/>
            </w:tcPr>
            <w:p>
              <w:r>
                <w:t xml:space="preserve">Log transformation of MonthlyIncome</w:t>
              </w:r>
            </w:p>
          </w:tc>
          <w:tc>
            <w:tcPr>
              <w:tcW w:type="dxa" w:w="3000"/>
            </w:tcPr>
            <w:p>
              <w:r>
                <w:t xml:space="preserve">Skewness 1.37 to 0.29</w:t>
              </w:r>
            </w:p>
          </w:tc>
        </w:tr>
        <w:tr>
          <w:tc>
            <w:tcPr>
              <w:tcW w:type="dxa" w:w="2200"/>
            </w:tcPr>
            <w:p>
              <w:r>
                <w:t xml:space="preserve">JobHopRate</w:t>
              </w:r>
            </w:p>
          </w:tc>
          <w:tc>
            <w:tcPr>
              <w:tcW w:type="dxa" w:w="4300"/>
            </w:tcPr>
            <w:p>
              <w:r>
                <w:t xml:space="preserve">Ratio: NumCompaniesWorked / (TotalWorkingYears+1)</w:t>
              </w:r>
            </w:p>
          </w:tc>
          <w:tc>
            <w:tcPr>
              <w:tcW w:type="dxa" w:w="3000"/>
            </w:tcPr>
            <w:p>
              <w:r>
                <w:t xml:space="preserve">0.41 vs 0.25 mean by Attrition</w:t>
              </w:r>
            </w:p>
          </w:tc>
        </w:tr>
        <w:tr>
          <w:tc>
            <w:tcPr>
              <w:tcW w:type="dxa" w:w="2200"/>
            </w:tcPr>
            <w:p>
              <w:r>
                <w:t xml:space="preserve">IncomeBand</w:t>
              </w:r>
            </w:p>
          </w:tc>
          <w:tc>
            <w:tcPr>
              <w:tcW w:type="dxa" w:w="4300"/>
            </w:tcPr>
            <w:p>
              <w:r>
                <w:t xml:space="preserve">Categorical quartile bins of MonthlyIncome</w:t>
              </w:r>
            </w:p>
          </w:tc>
          <w:tc>
            <w:tcPr>
              <w:tcW w:type="dxa" w:w="3000"/>
            </w:tcPr>
            <w:p>
              <w:r>
                <w:t xml:space="preserve">29.3% to 10.3% across bands</w:t>
              </w:r>
            </w:p>
          </w:tc>
        </w:tr>
      </w:tbl>
    </w:p>
    <w:p/>
    <w:p>
      <w:pPr>
        <w:spacing w:after="150"/>
      </w:pPr>
      <w:r>
        <w:t xml:space="preserve">All four features are grounded directly in Week 3 Advanced EDA findings and are evaluated further, alongside the original and Week 2 engineered features, in the Feature Evaluation and Selection Summary (Part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2026-08-23T16:21:34.570Z</dcterms:created>
  <dcterms:modified xsi:type="dcterms:W3CDTF">2026-08-23T16:21:34.582Z</dcterms:modified>
</cp:coreProperties>
</file>

<file path=docProps/custom.xml><?xml version="1.0" encoding="utf-8"?>
<Properties xmlns="http://schemas.openxmlformats.org/officeDocument/2006/custom-properties" xmlns:vt="http://schemas.openxmlformats.org/officeDocument/2006/docPropsVTypes"/>
</file>