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Project Continuity Summary</w:t>
      </w:r>
    </w:p>
    <w:p>
      <w:pPr>
        <w:spacing w:after="300"/>
        <w:jc w:val="center"/>
      </w:pPr>
      <w:r>
        <w:rPr>
          <w:i/>
          <w:iCs/>
        </w:rPr>
        <w:t xml:space="preserve">Employee Attrition Analysis, ABC Manufacturing Ltd</w:t>
      </w:r>
    </w:p>
    <w:p>
      <w:pPr>
        <w:spacing w:after="400"/>
        <w:jc w:val="center"/>
      </w:pPr>
      <w:r>
        <w:rPr>
          <w:sz w:val="20"/>
          <w:szCs w:val="20"/>
        </w:rPr>
        <w:t xml:space="preserve">Prepared by: Priscilla Arhin | AnalystLab Africa, Data Science Internship Programme | Week 3</w:t>
      </w:r>
    </w:p>
    <w:p>
      <w:pPr>
        <w:pStyle w:val="Heading2"/>
        <w:spacing w:before="300"/>
      </w:pPr>
      <w:r>
        <w:t xml:space="preserve">Business Problem</w:t>
      </w:r>
    </w:p>
    <w:p>
      <w:pPr>
        <w:spacing w:after="150"/>
      </w:pPr>
      <w:r>
        <w:t xml:space="preserve">ABC Manufacturing Ltd has engaged AnalystLab Africa Consulting to investigate why employees are leaving the company, before deciding whether to invest in a predictive machine learning model. The core business concern is employee attrition: its operational cost (production gaps, overworked remaining staff), its financial cost (recruitment, training, lost productivity), and its heightened risk in a manufacturing environment where roles are often tied to specific machinery, certifications, and shift schedules.</w:t>
      </w:r>
    </w:p>
    <w:p>
      <w:pPr>
        <w:pStyle w:val="Heading2"/>
        <w:spacing w:before="300"/>
      </w:pPr>
      <w:r>
        <w:t xml:space="preserve">Main Project Objective</w:t>
      </w:r>
    </w:p>
    <w:p>
      <w:pPr>
        <w:spacing w:after="150"/>
      </w:pPr>
      <w:r>
        <w:t xml:space="preserve">The objective is to understand the drivers of employee attrition using the IBM HR Analytics dataset (1,470 employees, originally 35 columns) as a stand-in for ABC Manufacturing Ltd's workforce data, progressing from business understanding and exploration (Week 1), through data cleaning and preprocessing (Week 2), to deeper statistical validation and feature engineering (Week 3), in preparation for predictive modelling in Week 4.</w:t>
      </w:r>
    </w:p>
    <w:p>
      <w:pPr>
        <w:pStyle w:val="Heading2"/>
        <w:spacing w:before="300"/>
      </w:pPr>
      <w:r>
        <w:t xml:space="preserve">Target Variable</w:t>
      </w:r>
    </w:p>
    <w:p>
      <w:pPr>
        <w:spacing w:after="150"/>
      </w:pPr>
      <w:r>
        <w:t xml:space="preserve">Attrition, a binary Yes/No field indicating whether an employee has left the company, confirmed in Week 1 as imbalanced: 83.9% of employees stayed (1,233) and 16.1% left (237).</w:t>
      </w:r>
    </w:p>
    <w:p>
      <w:pPr>
        <w:pStyle w:val="Heading2"/>
        <w:spacing w:before="300"/>
      </w:pPr>
      <w:r>
        <w:t xml:space="preserve">Key Findings from Week 1</w:t>
      </w:r>
    </w:p>
    <w:p>
      <w:pPr>
        <w:spacing w:after="80"/>
      </w:pPr>
      <w:r>
        <w:t xml:space="preserve">•  Sales has the highest departmental attrition rate (20.6%), ahead of Human Resources (19.0%) and Research &amp; Development (13.8%), despite R&amp;D having the highest raw number of departures.</w:t>
      </w:r>
    </w:p>
    <w:p>
      <w:pPr>
        <w:spacing w:after="80"/>
      </w:pPr>
      <w:r>
        <w:t xml:space="preserve">•  Overtime is strongly associated with attrition: 30.5% attrition among employees who work overtime, versus 10.4% among those who do not.</w:t>
      </w:r>
    </w:p>
    <w:p>
      <w:pPr>
        <w:spacing w:after="80"/>
      </w:pPr>
      <w:r>
        <w:t xml:space="preserve">•  Younger employees (18-25) have the highest attrition rate (34.8%) of any age bracket, dropping to 9.2% for the 36-45 bracket.</w:t>
      </w:r>
    </w:p>
    <w:p>
      <w:pPr>
        <w:spacing w:after="80"/>
      </w:pPr>
      <w:r>
        <w:t xml:space="preserve">•  Lower monthly income is associated with higher attrition: the lowest income quartile shows a 29.3% attrition rate versus 10.3% in the highest quartile.</w:t>
      </w:r>
    </w:p>
    <w:p>
      <w:pPr>
        <w:spacing w:after="80"/>
      </w:pPr>
      <w:r>
        <w:t xml:space="preserve">•  Sales Representative has the highest attrition rate of any job role (39.8%), far above the company-wide average.</w:t>
      </w:r>
    </w:p>
    <w:p>
      <w:pPr>
        <w:pStyle w:val="Heading2"/>
        <w:spacing w:before="300"/>
      </w:pPr>
      <w:r>
        <w:t xml:space="preserve">Major Data-Quality Issues Identified in Week 1</w:t>
      </w:r>
    </w:p>
    <w:p>
      <w:pPr>
        <w:spacing w:after="80"/>
      </w:pPr>
      <w:r>
        <w:t xml:space="preserve">•  No missing values and no duplicate rows were found across the full dataset.</w:t>
      </w:r>
    </w:p>
    <w:p>
      <w:pPr>
        <w:spacing w:after="80"/>
      </w:pPr>
      <w:r>
        <w:t xml:space="preserve">•  Three constant, non-informative columns were identified: EmployeeCount, Over18, and StandardHours, each holding a single value for every employee.</w:t>
      </w:r>
    </w:p>
    <w:p>
      <w:pPr>
        <w:spacing w:after="80"/>
      </w:pPr>
      <w:r>
        <w:t xml:space="preserve">•  EmployeeNumber was identified as a unique identifier with no analytical value.</w:t>
      </w:r>
    </w:p>
    <w:p>
      <w:pPr>
        <w:spacing w:after="80"/>
      </w:pPr>
      <w:r>
        <w:t xml:space="preserve">•  The target variable Attrition is imbalanced (83.9% / 16.1%), a factor relevant to both statistical interpretation and future model evaluation.</w:t>
      </w:r>
    </w:p>
    <w:p>
      <w:pPr>
        <w:pStyle w:val="Heading2"/>
        <w:spacing w:before="300"/>
      </w:pPr>
      <w:r>
        <w:t xml:space="preserve">Major Cleaning and Preprocessing Actions Completed in Week 2</w:t>
      </w:r>
    </w:p>
    <w:p>
      <w:pPr>
        <w:spacing w:after="80"/>
      </w:pPr>
      <w:r>
        <w:t xml:space="preserve">•  Dropped the three constant columns and the EmployeeNumber identifier, reducing the dataset from 35 to 31 columns.</w:t>
      </w:r>
    </w:p>
    <w:p>
      <w:pPr>
        <w:spacing w:after="80"/>
      </w:pPr>
      <w:r>
        <w:t xml:space="preserve">•  Engineered five new features: AverageSatisfaction, TenureRatio, IncomePerExperienceYear, AgeGroup, and PromotionStagnationRatio.</w:t>
      </w:r>
    </w:p>
    <w:p>
      <w:pPr>
        <w:spacing w:after="80"/>
      </w:pPr>
      <w:r>
        <w:t xml:space="preserve">•  Encoded categorical variables: binary fields (Attrition, OverTime, Gender) mapped to 0/1, and nominal fields (BusinessTravel, Department, EducationField, JobRole, MaritalStatus, AgeGroup) one-hot encoded.</w:t>
      </w:r>
    </w:p>
    <w:p>
      <w:pPr>
        <w:spacing w:after="80"/>
      </w:pPr>
      <w:r>
        <w:t xml:space="preserve">•  Standardised numeric, non-binary features using StandardScaler, producing a fully numeric, machine-learning-ready dataset of 1,470 rows by 53 columns.</w:t>
      </w:r>
    </w:p>
    <w:p>
      <w:pPr>
        <w:pStyle w:val="Heading2"/>
        <w:spacing w:before="300"/>
      </w:pPr>
      <w:r>
        <w:t xml:space="preserve">Remaining Questions Requiring Deeper Investigation</w:t>
      </w:r>
    </w:p>
    <w:p>
      <w:pPr>
        <w:spacing w:after="150"/>
      </w:pPr>
      <w:r>
        <w:t xml:space="preserve">Two open questions carried directly into Week 3, arising from discussion of the Week 1 and Week 2 findings:</w:t>
      </w:r>
    </w:p>
    <w:p>
      <w:pPr>
        <w:spacing w:after="80"/>
      </w:pPr>
      <w:r>
        <w:t xml:space="preserve">•  Why does Sales have the highest departmental attrition rate? A plausible hypothesis was that Sales employees work more overtime than other departments, and that this explains the elevated attrition. This was tested directly in Week 3 (Part 3, Test 1).</w:t>
      </w:r>
    </w:p>
    <w:p>
      <w:pPr>
        <w:spacing w:after="80"/>
      </w:pPr>
      <w:r>
        <w:t xml:space="preserve">•  Is overtime itself the true cause of attrition, or is it a proxy for something else, such as a specific type of demanding work? The dataset does not contain a direct measure of workload type or intensity, only a binary OverTime flag, which is noted as a dataset limitation for Week 3's Business Insights Report.</w:t>
      </w:r>
    </w:p>
    <w:p>
      <w:pPr>
        <w:spacing w:after="150"/>
      </w:pPr>
      <w:r>
        <w:t xml:space="preserve">Week 3's advanced exploratory analysis, statistical hypothesis testing, and feature engineering directly build on these two questions, moving beyond Week 1's descriptive patterns toward statistically validated conclusions and a more precise understanding of which specific factors, and which specific roles, are driving attrition at ABC Manufacturing Ltd.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2026-08-23T16:11:41.530Z</dcterms:created>
  <dcterms:modified xsi:type="dcterms:W3CDTF">2026-08-23T16:11:41.530Z</dcterms:modified>
</cp:coreProperties>
</file>

<file path=docProps/custom.xml><?xml version="1.0" encoding="utf-8"?>
<Properties xmlns="http://schemas.openxmlformats.org/officeDocument/2006/custom-properties" xmlns:vt="http://schemas.openxmlformats.org/officeDocument/2006/docPropsVTypes"/>
</file>