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Arial" w:cs="Arial" w:eastAsia="Arial" w:hAnsi="Arial"/>
          <w:b w:val="0"/>
          <w:sz w:val="26"/>
          <w:szCs w:val="26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vertAlign w:val="baseline"/>
          <w:rtl w:val="0"/>
        </w:rPr>
        <w:t xml:space="preserve">Gamificação no ensino sobre hábitos alimentares e saúde: Magnata da Saúde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Arial" w:cs="Arial" w:eastAsia="Arial" w:hAnsi="Arial"/>
          <w:b w:val="0"/>
          <w:sz w:val="26"/>
          <w:szCs w:val="26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vertAlign w:val="baseline"/>
          <w:rtl w:val="0"/>
        </w:rPr>
        <w:t xml:space="preserve">Matheus Cirillo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Arial" w:cs="Arial" w:eastAsia="Arial" w:hAnsi="Arial"/>
          <w:b w:val="0"/>
          <w:sz w:val="26"/>
          <w:szCs w:val="26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vertAlign w:val="baseline"/>
          <w:rtl w:val="0"/>
        </w:rPr>
        <w:t xml:space="preserve">Gustav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vertAlign w:val="baseline"/>
          <w:rtl w:val="0"/>
        </w:rPr>
        <w:t xml:space="preserve"> Moura, M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ichel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vertAlign w:val="baseline"/>
          <w:rtl w:val="0"/>
        </w:rPr>
        <w:t xml:space="preserve"> Hecker, Alexandre Ponce de Oliveira,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Carla Roberta de Oliveira Carvalho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Arial" w:cs="Arial" w:eastAsia="Arial" w:hAnsi="Arial"/>
          <w:b w:val="0"/>
          <w:sz w:val="26"/>
          <w:szCs w:val="26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vertAlign w:val="baseline"/>
          <w:rtl w:val="0"/>
        </w:rPr>
        <w:t xml:space="preserve">Paulo Sérgio Lopes de Souza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Arial" w:cs="Arial" w:eastAsia="Arial" w:hAnsi="Arial"/>
          <w:sz w:val="26"/>
          <w:szCs w:val="26"/>
          <w:vertAlign w:val="baseline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Universidade de São Paulo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Arial" w:cs="Arial" w:eastAsia="Arial" w:hAnsi="Arial"/>
          <w:sz w:val="20"/>
          <w:szCs w:val="20"/>
          <w:vertAlign w:val="baseli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vertAlign w:val="baseline"/>
          <w:rtl w:val="0"/>
        </w:rPr>
        <w:t xml:space="preserve">matheuscirillo@usp.br</w:t>
      </w:r>
    </w:p>
    <w:p w:rsidR="00000000" w:rsidDel="00000000" w:rsidP="00000000" w:rsidRDefault="00000000" w:rsidRPr="00000000" w14:paraId="00000007">
      <w:pPr>
        <w:spacing w:after="0" w:before="0" w:line="240" w:lineRule="auto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="240" w:lineRule="auto"/>
        <w:jc w:val="center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ab/>
      </w:r>
    </w:p>
    <w:p w:rsidR="00000000" w:rsidDel="00000000" w:rsidP="00000000" w:rsidRDefault="00000000" w:rsidRPr="00000000" w14:paraId="00000009">
      <w:pPr>
        <w:spacing w:after="0" w:before="0" w:line="240" w:lineRule="auto"/>
        <w:jc w:val="center"/>
        <w:rPr>
          <w:rFonts w:ascii="Arial" w:cs="Arial" w:eastAsia="Arial" w:hAnsi="Arial"/>
          <w:vertAlign w:val="baseline"/>
        </w:rPr>
        <w:sectPr>
          <w:headerReference r:id="rId6" w:type="default"/>
          <w:pgSz w:h="16838" w:w="11906" w:orient="portrait"/>
          <w:pgMar w:bottom="2381" w:top="1871" w:left="1474" w:right="1474" w:header="709" w:footer="709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before="120" w:line="240" w:lineRule="auto"/>
        <w:jc w:val="center"/>
        <w:rPr>
          <w:rFonts w:ascii="Arial" w:cs="Arial" w:eastAsia="Arial" w:hAnsi="Arial"/>
          <w:sz w:val="26"/>
          <w:szCs w:val="26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vertAlign w:val="baseline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before="120" w:line="240" w:lineRule="auto"/>
        <w:rPr>
          <w:rFonts w:ascii="Arial" w:cs="Arial" w:eastAsia="Arial" w:hAnsi="Arial"/>
          <w:sz w:val="20"/>
          <w:szCs w:val="20"/>
          <w:vertAlign w:val="baseli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Com a proposta de uso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games no 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baseline"/>
          <w:rtl w:val="0"/>
        </w:rPr>
        <w:t xml:space="preserve">curso de inverno do Instituto de Ciências Biomédicas da Universidade de São Paulo (ICB/USP), este projeto t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eve como objetivo a 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baseline"/>
          <w:rtl w:val="0"/>
        </w:rPr>
        <w:t xml:space="preserve">construção de um jogo digital educativo para contribuir com o ensino de dietas, exercícios físicos e obesidade. De maneira lúdica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baseline"/>
          <w:rtl w:val="0"/>
        </w:rPr>
        <w:t xml:space="preserve"> baseado no gênero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vertAlign w:val="baseline"/>
          <w:rtl w:val="0"/>
        </w:rPr>
        <w:t xml:space="preserve">tycoon, 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baseline"/>
          <w:rtl w:val="0"/>
        </w:rPr>
        <w:t xml:space="preserve">o jogador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baseline"/>
          <w:rtl w:val="0"/>
        </w:rPr>
        <w:t xml:space="preserve">influencia as ações de um personagem e isso impacta diretamente sua saúde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. A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baseline"/>
          <w:rtl w:val="0"/>
        </w:rPr>
        <w:t xml:space="preserve">ssim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baseline"/>
          <w:rtl w:val="0"/>
        </w:rPr>
        <w:t xml:space="preserve"> o usuário aprende sobre regulação metabólica, jejum, exercício físico e obesidade. Portanto, neste trabalho explora-se os conceitos e benefícios do processo chamado de Gamificação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superscript"/>
          <w:rtl w:val="0"/>
        </w:rPr>
        <w:t xml:space="preserve">[1]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C">
      <w:pPr>
        <w:spacing w:after="120" w:before="120" w:line="240" w:lineRule="auto"/>
        <w:jc w:val="center"/>
        <w:rPr>
          <w:rFonts w:ascii="Arial" w:cs="Arial" w:eastAsia="Arial" w:hAnsi="Arial"/>
          <w:sz w:val="26"/>
          <w:szCs w:val="26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vertAlign w:val="baseline"/>
          <w:rtl w:val="0"/>
        </w:rPr>
        <w:t xml:space="preserve">Métodos e Procedimentos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 projeto foi dividido nas seguintes etapas:</w:t>
      </w:r>
    </w:p>
    <w:p w:rsidR="00000000" w:rsidDel="00000000" w:rsidP="00000000" w:rsidRDefault="00000000" w:rsidRPr="00000000" w14:paraId="0000000E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Análise de requisitos: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aconteceram reuniões periódicas com a equipe do ICB, onde discutiu-se as necessidades e os conteúdos importantes para serem ensinados no jogo digital.</w:t>
      </w:r>
    </w:p>
    <w:p w:rsidR="00000000" w:rsidDel="00000000" w:rsidP="00000000" w:rsidRDefault="00000000" w:rsidRPr="00000000" w14:paraId="0000000F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Desenvolvimento do jogo digital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foi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utiliza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da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 a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engine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de desenvolvimento Unity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0"/>
          <w:szCs w:val="20"/>
          <w:u w:val="none"/>
          <w:shd w:fill="auto" w:val="clear"/>
          <w:vertAlign w:val="superscript"/>
          <w:rtl w:val="0"/>
        </w:rPr>
        <w:t xml:space="preserve">[2]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, uma plataforma de criação de jogos gratuita que emprega a linguagem de programação C#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0"/>
          <w:szCs w:val="20"/>
          <w:u w:val="none"/>
          <w:shd w:fill="auto" w:val="clear"/>
          <w:vertAlign w:val="superscript"/>
          <w:rtl w:val="0"/>
        </w:rPr>
        <w:t xml:space="preserve">[3]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. O projeto foi organizado a partir de um </w:t>
      </w:r>
      <w:r w:rsidDel="00000000" w:rsidR="00000000" w:rsidRPr="00000000">
        <w:rPr>
          <w:rFonts w:ascii="Arial" w:cs="Arial" w:eastAsia="Arial" w:hAnsi="Arial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Game Design Document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 (GDD)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0"/>
          <w:szCs w:val="20"/>
          <w:u w:val="none"/>
          <w:shd w:fill="auto" w:val="clear"/>
          <w:vertAlign w:val="superscript"/>
          <w:rtl w:val="0"/>
        </w:rPr>
        <w:t xml:space="preserve">[4]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onde o jogo foi idealizado e planejado. Também ocorreram reuniões semanais de alinhamento com os orientadores visando seguir o cronograma proposto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à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risca.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Além disso,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aconteceram reuniões com o ICB, onde a evolução do desenvolvimento era apresentado e melhorias  sugeridas buscando alinhar o produto final com as preferências e necessidades do curso.</w:t>
      </w:r>
    </w:p>
    <w:p w:rsidR="00000000" w:rsidDel="00000000" w:rsidP="00000000" w:rsidRDefault="00000000" w:rsidRPr="00000000" w14:paraId="00000010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Verificação, Validação e Teste (VV&amp;T)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o jogo conta com duas etapas de validação, uma inicial feita pela equipe do ICB, responsável pelo curso de inverno; e uma segunda etapa, que ocorrerá durante o curso e será feita pelos próprios participantes/alunos.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="240" w:lineRule="auto"/>
        <w:rPr>
          <w:rFonts w:ascii="Arial" w:cs="Arial" w:eastAsia="Arial" w:hAnsi="Arial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before="120" w:line="240" w:lineRule="auto"/>
        <w:jc w:val="center"/>
        <w:rPr>
          <w:rFonts w:ascii="Arial" w:cs="Arial" w:eastAsia="Arial" w:hAnsi="Arial"/>
          <w:sz w:val="26"/>
          <w:szCs w:val="26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vertAlign w:val="baseline"/>
          <w:rtl w:val="0"/>
        </w:rPr>
        <w:t xml:space="preserve">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 jogo revelou enorme potencial como ferramenta educativa na mão de professores, recebendo críticas positivas e se mostrando como uma ferramenta de alto nível voltada principalmente para um público alvo um pouco mais velho.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 figura 1 apresenta a tela de jogo principal, a partir de onde o usuário pode acessar os diversos menus responsáveis por controlar as ações do personagem. A figura 2 é o menu da cozinha, onde o jogador alimenta o personagem, focado em  montar um prato com uma dieta balanceada.</w:t>
      </w:r>
    </w:p>
    <w:p w:rsidR="00000000" w:rsidDel="00000000" w:rsidP="00000000" w:rsidRDefault="00000000" w:rsidRPr="00000000" w14:paraId="00000016">
      <w:pPr>
        <w:spacing w:after="0" w:before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114300" distR="114300">
            <wp:extent cx="2688590" cy="151193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1511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240" w:lineRule="auto"/>
        <w:jc w:val="center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Figura 1: Cenários do jogo Magnata da Saúde.</w:t>
      </w:r>
    </w:p>
    <w:p w:rsidR="00000000" w:rsidDel="00000000" w:rsidP="00000000" w:rsidRDefault="00000000" w:rsidRPr="00000000" w14:paraId="00000018">
      <w:pPr>
        <w:spacing w:after="120" w:before="120" w:line="240" w:lineRule="auto"/>
        <w:jc w:val="center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</w:rPr>
        <w:drawing>
          <wp:inline distB="114300" distT="114300" distL="114300" distR="114300">
            <wp:extent cx="2695575" cy="1511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20" w:before="120" w:line="240" w:lineRule="auto"/>
        <w:jc w:val="center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Figura 2: Cozinha do jogo</w:t>
      </w:r>
    </w:p>
    <w:p w:rsidR="00000000" w:rsidDel="00000000" w:rsidP="00000000" w:rsidRDefault="00000000" w:rsidRPr="00000000" w14:paraId="0000001A">
      <w:pPr>
        <w:spacing w:after="120" w:before="120" w:line="240" w:lineRule="auto"/>
        <w:jc w:val="center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20" w:before="120" w:line="240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Conclusões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Os resultados iniciais se mostraram promissores, com a ferramenta mostrando um potencial como um simulador para testar e apresentar os impactos de hábitos na saúde de uma pessoa. O próximo passo será a coleta de dados dos usuários para análise e compreensão da eficácia do projeto como ferramenta de ensino.</w:t>
      </w:r>
    </w:p>
    <w:p w:rsidR="00000000" w:rsidDel="00000000" w:rsidP="00000000" w:rsidRDefault="00000000" w:rsidRPr="00000000" w14:paraId="0000001D">
      <w:pPr>
        <w:spacing w:after="120" w:before="120" w:line="240" w:lineRule="auto"/>
        <w:jc w:val="center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before="120" w:line="240" w:lineRule="auto"/>
        <w:jc w:val="center"/>
        <w:rPr>
          <w:rFonts w:ascii="Arial" w:cs="Arial" w:eastAsia="Arial" w:hAnsi="Arial"/>
          <w:sz w:val="26"/>
          <w:szCs w:val="26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vertAlign w:val="baseline"/>
          <w:rtl w:val="0"/>
        </w:rPr>
        <w:t xml:space="preserve">Referências Bibliográficas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[1] 5 Benefits of Gamification. Disponível em: https://ssec.si.edu/stemvisions-blog/5-benefits-gamification. Acessado em: Set.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[2] What is Unity? - A guide for One of the Top Game Engines. Disponível em: https://gamedevacademy.org/what-is-unity/. Acessado em: Set.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[3] C# documentation. Disponível em: https://docs.microsoft.com/en-us/dotnet/csharp. Acessado em: Set. de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[4] What is a Game Design Document and How to Write it?. Disponível em: https://www.dreamstormstudios.com/blog/what-is-a-game-design-document-and-how-to-write-it. Acessado em: Set. de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="240" w:lineRule="auto"/>
        <w:rPr>
          <w:rFonts w:ascii="Arial" w:cs="Arial" w:eastAsia="Arial" w:hAnsi="Arial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2381" w:top="1871" w:left="1474" w:right="1474" w:header="709" w:footer="709"/>
      <w:cols w:equalWidth="0" w:num="2">
        <w:col w:space="454" w:w="4251.999999999999"/>
        <w:col w:space="0" w:w="4251.999999999999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240" w:before="240" w:line="360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1906</wp:posOffset>
          </wp:positionH>
          <wp:positionV relativeFrom="paragraph">
            <wp:posOffset>0</wp:posOffset>
          </wp:positionV>
          <wp:extent cx="705485" cy="657225"/>
          <wp:effectExtent b="0" l="0" r="0" t="0"/>
          <wp:wrapSquare wrapText="bothSides" distB="0" distT="0" distL="114300" distR="11430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05485" cy="6572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40" w:before="24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