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6B4F2A"/>
          <w:sz w:val="60"/>
        </w:rPr>
        <w:t>PAUSE GOURMANDE</w:t>
      </w:r>
    </w:p>
    <w:p>
      <w:pPr>
        <w:jc w:val="center"/>
      </w:pPr>
      <w:r>
        <w:rPr>
          <w:b/>
          <w:sz w:val="36"/>
        </w:rPr>
        <w:t>Cahier des charges fonctionnel et technique</w:t>
      </w:r>
    </w:p>
    <w:p>
      <w:pPr>
        <w:spacing w:before="360"/>
        <w:jc w:val="center"/>
      </w:pPr>
      <w:r>
        <w:rPr>
          <w:sz w:val="23"/>
        </w:rPr>
        <w:t>Plateforme web de commande, fidélité et gestion pour une activité de crêpes et gaufres à Lomé</w:t>
      </w:r>
    </w:p>
    <w:p>
      <w:pPr>
        <w:spacing w:before="700"/>
        <w:jc w:val="center"/>
      </w:pPr>
      <w:r>
        <w:rPr>
          <w:b/>
        </w:rPr>
        <w:t>Version de référence : 1.0</w:t>
      </w:r>
      <w:r>
        <w:br/>
        <w:t>État : prototype opérationnel / prêt pour test en situation réelle</w:t>
      </w:r>
      <w:r>
        <w:br/>
        <w:t>Date : 28 août 2026</w:t>
      </w:r>
      <w:r>
        <w:br/>
        <w:t>Projet : Pause Gourmande — Lomé, Togo</w:t>
      </w:r>
    </w:p>
    <w:p>
      <w:r>
        <w:br w:type="page"/>
      </w:r>
    </w:p>
    <w:p>
      <w:pPr>
        <w:pStyle w:val="Heading1"/>
      </w:pPr>
      <w:r>
        <w:t>1. Présentation du projet</w:t>
      </w:r>
    </w:p>
    <w:p>
      <w:pPr>
        <w:spacing w:after="100"/>
      </w:pPr>
      <w:r>
        <w:t>Pause Gourmande est une plateforme web destinée à faciliter la vente de crêpes et de produits gourmands à Lomé. Le projet est né autour d’un besoin concret : réduire la charge liée à la prise et au suivi des commandes tout en offrant au client une expérience simple, ludique et fidélisante.</w:t>
      </w:r>
    </w:p>
    <w:tbl>
      <w:tblPr>
        <w:tblStyle w:val="TableGrid"/>
        <w:tblW w:type="auto" w:w="0"/>
        <w:jc w:val="center"/>
        <w:tblLook w:firstColumn="1" w:firstRow="1" w:lastColumn="0" w:lastRow="0" w:noHBand="0" w:noVBand="1" w:val="04A0"/>
      </w:tblPr>
      <w:tblGrid>
        <w:gridCol w:w="10080"/>
      </w:tblGrid>
      <w:tr>
        <w:tc>
          <w:tcPr>
            <w:tcW w:type="dxa" w:w="10080"/>
            <w:shd w:fill="F7F0E5"/>
            <w:vAlign w:val="center"/>
          </w:tcPr>
          <w:p>
            <w:pPr>
              <w:spacing w:after="40"/>
            </w:pPr>
            <w:r/>
            <w:r>
              <w:rPr>
                <w:b w:val="0"/>
                <w:sz w:val="18"/>
              </w:rPr>
            </w:r>
            <w:r>
              <w:rPr>
                <w:b/>
                <w:color w:val="6B4F2A"/>
                <w:sz w:val="21"/>
              </w:rPr>
              <w:t>Positionnement</w:t>
            </w:r>
          </w:p>
          <w:p>
            <w:pPr>
              <w:spacing w:after="0"/>
            </w:pPr>
            <w:r>
              <w:t>La plateforme doit agir comme un outil de vente et de gestion léger. Elle ne suppose pas l’existence permanente d’un stand physique : l’activité peut être uniquement en ligne ou ponctuellement présente lors d’événements.</w:t>
            </w:r>
          </w:p>
        </w:tc>
      </w:tr>
    </w:tbl>
    <w:p>
      <w:pPr>
        <w:spacing w:after="0"/>
      </w:pPr>
    </w:p>
    <w:p>
      <w:pPr>
        <w:pStyle w:val="Heading2"/>
      </w:pPr>
      <w:r>
        <w:t>1.1 Objectifs</w:t>
      </w:r>
    </w:p>
    <w:p>
      <w:pPr>
        <w:pStyle w:val="ListBullet"/>
        <w:spacing w:after="60"/>
      </w:pPr>
      <w:r>
        <w:t>Permettre aux clients de consulter les produits disponibles et leurs prix.</w:t>
      </w:r>
    </w:p>
    <w:p>
      <w:pPr>
        <w:pStyle w:val="ListBullet"/>
        <w:spacing w:after="60"/>
      </w:pPr>
      <w:r>
        <w:t>Permettre de passer une commande avec des précisions personnalisées (ex. : « pas trop de chocolat »).</w:t>
      </w:r>
    </w:p>
    <w:p>
      <w:pPr>
        <w:pStyle w:val="ListBullet"/>
        <w:spacing w:after="60"/>
      </w:pPr>
      <w:r>
        <w:t>Réduire la charge opérationnelle de la vendeuse grâce à un suivi centralisé des commandes.</w:t>
      </w:r>
    </w:p>
    <w:p>
      <w:pPr>
        <w:pStyle w:val="ListBullet"/>
        <w:spacing w:after="60"/>
      </w:pPr>
      <w:r>
        <w:t>Mettre en place un système de fidélité par pépites avec un plafond et une récompense contrôlée.</w:t>
      </w:r>
    </w:p>
    <w:p>
      <w:pPr>
        <w:pStyle w:val="ListBullet"/>
        <w:spacing w:after="60"/>
      </w:pPr>
      <w:r>
        <w:t>Proposer une roue de la chance ludique avec des probabilités administrables.</w:t>
      </w:r>
    </w:p>
    <w:p>
      <w:pPr>
        <w:pStyle w:val="ListBullet"/>
        <w:spacing w:after="60"/>
      </w:pPr>
      <w:r>
        <w:t>Permettre le parrainage et l’attribution de récompenses associées.</w:t>
      </w:r>
    </w:p>
    <w:p>
      <w:pPr>
        <w:pStyle w:val="ListBullet"/>
        <w:spacing w:after="60"/>
      </w:pPr>
      <w:r>
        <w:t>Permettre de gérer une présence physique ponctuelle via une localisation activable ou désactivable.</w:t>
      </w:r>
    </w:p>
    <w:p>
      <w:pPr>
        <w:pStyle w:val="ListBullet"/>
        <w:spacing w:after="60"/>
      </w:pPr>
      <w:r>
        <w:t>Fournir un tableau de bord simple pour contrôler les ventes et modifier les paramètres commerciaux.</w:t>
      </w:r>
    </w:p>
    <w:p>
      <w:pPr>
        <w:pStyle w:val="Heading2"/>
      </w:pPr>
      <w:r>
        <w:t>1.2 Périmètre</w:t>
      </w:r>
    </w:p>
    <w:p>
      <w:pPr>
        <w:spacing w:after="100"/>
      </w:pPr>
      <w:r>
        <w:t>Le présent cahier des charges décrit l’état actuel du projet ainsi que les exigences à préserver lors des prochaines évolutions. Les fonctionnalités mobiles natives Android/iOS ne font pas partie du périmètre de livraison actuel ; elles constituent une évolution future envisageable à partir de la base web existante.</w:t>
      </w:r>
    </w:p>
    <w:p>
      <w:pPr>
        <w:pStyle w:val="Heading1"/>
      </w:pPr>
      <w:r>
        <w:t>2. Utilisateurs et rôles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B4F2A"/>
          </w:tcPr>
          <w:p>
            <w:pPr>
              <w:spacing w:after="0"/>
            </w:pPr>
            <w:r/>
            <w:r>
              <w:rPr>
                <w:b/>
                <w:color w:val="FFFFFF"/>
                <w:sz w:val="18"/>
              </w:rPr>
              <w:t>Rôle</w:t>
            </w:r>
          </w:p>
        </w:tc>
        <w:tc>
          <w:tcPr>
            <w:tcW w:type="dxa" w:w="3360"/>
            <w:vAlign w:val="center"/>
            <w:shd w:fill="6B4F2A"/>
          </w:tcPr>
          <w:p>
            <w:pPr>
              <w:spacing w:after="0"/>
            </w:pPr>
            <w:r/>
            <w:r>
              <w:rPr>
                <w:b/>
                <w:color w:val="FFFFFF"/>
                <w:sz w:val="18"/>
              </w:rPr>
              <w:t>Responsabilités</w:t>
            </w:r>
          </w:p>
        </w:tc>
        <w:tc>
          <w:tcPr>
            <w:tcW w:type="dxa" w:w="3360"/>
            <w:vAlign w:val="center"/>
            <w:shd w:fill="6B4F2A"/>
          </w:tcPr>
          <w:p>
            <w:pPr>
              <w:spacing w:after="0"/>
            </w:pPr>
            <w:r/>
            <w:r>
              <w:rPr>
                <w:b/>
                <w:color w:val="FFFFFF"/>
                <w:sz w:val="18"/>
              </w:rPr>
              <w:t>Accès</w:t>
            </w:r>
          </w:p>
        </w:tc>
      </w:tr>
      <w:tr>
        <w:tc>
          <w:tcPr>
            <w:tcW w:type="dxa" w:w="3360"/>
            <w:vAlign w:val="center"/>
          </w:tcPr>
          <w:p>
            <w:pPr>
              <w:spacing w:after="0"/>
            </w:pPr>
            <w:r/>
            <w:r>
              <w:rPr>
                <w:b w:val="0"/>
                <w:sz w:val="17"/>
              </w:rPr>
              <w:t>Client</w:t>
            </w:r>
          </w:p>
        </w:tc>
        <w:tc>
          <w:tcPr>
            <w:tcW w:type="dxa" w:w="3360"/>
            <w:vAlign w:val="center"/>
          </w:tcPr>
          <w:p>
            <w:pPr>
              <w:spacing w:after="0"/>
            </w:pPr>
            <w:r/>
            <w:r>
              <w:rPr>
                <w:b w:val="0"/>
                <w:sz w:val="17"/>
              </w:rPr>
              <w:t>Consulter les produits, commander, utiliser une récompense, consulter ses pépites, jouer à la roue, utiliser un code de parrainage.</w:t>
            </w:r>
          </w:p>
        </w:tc>
        <w:tc>
          <w:tcPr>
            <w:tcW w:type="dxa" w:w="3360"/>
            <w:vAlign w:val="center"/>
          </w:tcPr>
          <w:p>
            <w:pPr>
              <w:spacing w:after="0"/>
            </w:pPr>
            <w:r/>
            <w:r>
              <w:rPr>
                <w:b w:val="0"/>
                <w:sz w:val="17"/>
              </w:rPr>
              <w:t>Site public</w:t>
            </w:r>
          </w:p>
        </w:tc>
      </w:tr>
      <w:tr>
        <w:tc>
          <w:tcPr>
            <w:tcW w:type="dxa" w:w="3360"/>
            <w:vAlign w:val="center"/>
          </w:tcPr>
          <w:p>
            <w:pPr>
              <w:spacing w:after="0"/>
            </w:pPr>
            <w:r/>
            <w:r>
              <w:rPr>
                <w:b w:val="0"/>
                <w:sz w:val="17"/>
              </w:rPr>
              <w:t>Administrateur / vendeuse</w:t>
            </w:r>
          </w:p>
        </w:tc>
        <w:tc>
          <w:tcPr>
            <w:tcW w:type="dxa" w:w="3360"/>
            <w:vAlign w:val="center"/>
          </w:tcPr>
          <w:p>
            <w:pPr>
              <w:spacing w:after="0"/>
            </w:pPr>
            <w:r/>
            <w:r>
              <w:rPr>
                <w:b w:val="0"/>
                <w:sz w:val="17"/>
              </w:rPr>
              <w:t>Consulter les commandes et indicateurs, modifier localisation et paramètres de fidélité/roue.</w:t>
            </w:r>
          </w:p>
        </w:tc>
        <w:tc>
          <w:tcPr>
            <w:tcW w:type="dxa" w:w="3360"/>
            <w:vAlign w:val="center"/>
          </w:tcPr>
          <w:p>
            <w:pPr>
              <w:spacing w:after="0"/>
            </w:pPr>
            <w:r/>
            <w:r>
              <w:rPr>
                <w:b w:val="0"/>
                <w:sz w:val="17"/>
              </w:rPr>
              <w:t>Dashboard protégé par Supabase Auth</w:t>
            </w:r>
          </w:p>
        </w:tc>
      </w:tr>
      <w:tr>
        <w:tc>
          <w:tcPr>
            <w:tcW w:type="dxa" w:w="3360"/>
            <w:vAlign w:val="center"/>
          </w:tcPr>
          <w:p>
            <w:pPr>
              <w:spacing w:after="0"/>
            </w:pPr>
            <w:r/>
            <w:r>
              <w:rPr>
                <w:b w:val="0"/>
                <w:sz w:val="17"/>
              </w:rPr>
              <w:t>Développeur / mainteneur</w:t>
            </w:r>
          </w:p>
        </w:tc>
        <w:tc>
          <w:tcPr>
            <w:tcW w:type="dxa" w:w="3360"/>
            <w:vAlign w:val="center"/>
          </w:tcPr>
          <w:p>
            <w:pPr>
              <w:spacing w:after="0"/>
            </w:pPr>
            <w:r/>
            <w:r>
              <w:rPr>
                <w:b w:val="0"/>
                <w:sz w:val="17"/>
              </w:rPr>
              <w:t>Déployer, corriger, faire évoluer le modèle de données et le code.</w:t>
            </w:r>
          </w:p>
        </w:tc>
        <w:tc>
          <w:tcPr>
            <w:tcW w:type="dxa" w:w="3360"/>
            <w:vAlign w:val="center"/>
          </w:tcPr>
          <w:p>
            <w:pPr>
              <w:spacing w:after="0"/>
            </w:pPr>
            <w:r/>
            <w:r>
              <w:rPr>
                <w:b w:val="0"/>
                <w:sz w:val="17"/>
              </w:rPr>
              <w:t>Dépôt Git + environnement technique</w:t>
            </w:r>
          </w:p>
        </w:tc>
      </w:tr>
    </w:tbl>
    <w:p>
      <w:pPr>
        <w:spacing w:after="0"/>
      </w:pPr>
    </w:p>
    <w:p>
      <w:pPr>
        <w:pStyle w:val="Heading1"/>
      </w:pPr>
      <w:r>
        <w:t>3. Exigences fonctionnelles</w:t>
      </w:r>
    </w:p>
    <w:p>
      <w:pPr>
        <w:spacing w:after="100"/>
      </w:pPr>
      <w:r>
        <w:t>Les exigences ci-dessous constituent les fonctions attendues du produit. Les identifiants permettent de les retrouver dans les tests et futures versions.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B4F2A"/>
          </w:tcPr>
          <w:p>
            <w:pPr>
              <w:spacing w:after="0"/>
            </w:pPr>
            <w:r/>
            <w:r>
              <w:rPr>
                <w:b/>
                <w:color w:val="FFFFFF"/>
                <w:sz w:val="18"/>
              </w:rPr>
              <w:t>ID</w:t>
            </w:r>
          </w:p>
        </w:tc>
        <w:tc>
          <w:tcPr>
            <w:tcW w:type="dxa" w:w="3360"/>
            <w:vAlign w:val="center"/>
            <w:shd w:fill="6B4F2A"/>
          </w:tcPr>
          <w:p>
            <w:pPr>
              <w:spacing w:after="0"/>
            </w:pPr>
            <w:r/>
            <w:r>
              <w:rPr>
                <w:b/>
                <w:color w:val="FFFFFF"/>
                <w:sz w:val="18"/>
              </w:rPr>
              <w:t>Fonction</w:t>
            </w:r>
          </w:p>
        </w:tc>
        <w:tc>
          <w:tcPr>
            <w:tcW w:type="dxa" w:w="3360"/>
            <w:vAlign w:val="center"/>
            <w:shd w:fill="6B4F2A"/>
          </w:tcPr>
          <w:p>
            <w:pPr>
              <w:spacing w:after="0"/>
            </w:pPr>
            <w:r/>
            <w:r>
              <w:rPr>
                <w:b/>
                <w:color w:val="FFFFFF"/>
                <w:sz w:val="18"/>
              </w:rPr>
              <w:t>Exigence</w:t>
            </w:r>
          </w:p>
        </w:tc>
      </w:tr>
      <w:tr>
        <w:tc>
          <w:tcPr>
            <w:tcW w:type="dxa" w:w="3360"/>
            <w:vAlign w:val="center"/>
          </w:tcPr>
          <w:p>
            <w:pPr>
              <w:spacing w:after="0"/>
            </w:pPr>
            <w:r/>
            <w:r>
              <w:rPr>
                <w:b w:val="0"/>
                <w:sz w:val="17"/>
              </w:rPr>
              <w:t>F01</w:t>
            </w:r>
          </w:p>
        </w:tc>
        <w:tc>
          <w:tcPr>
            <w:tcW w:type="dxa" w:w="3360"/>
            <w:vAlign w:val="center"/>
          </w:tcPr>
          <w:p>
            <w:pPr>
              <w:spacing w:after="0"/>
            </w:pPr>
            <w:r/>
            <w:r>
              <w:rPr>
                <w:b w:val="0"/>
                <w:sz w:val="17"/>
              </w:rPr>
              <w:t>Catalogue</w:t>
            </w:r>
          </w:p>
        </w:tc>
        <w:tc>
          <w:tcPr>
            <w:tcW w:type="dxa" w:w="3360"/>
            <w:vAlign w:val="center"/>
          </w:tcPr>
          <w:p>
            <w:pPr>
              <w:spacing w:after="0"/>
            </w:pPr>
            <w:r/>
            <w:r>
              <w:rPr>
                <w:b w:val="0"/>
                <w:sz w:val="17"/>
              </w:rPr>
              <w:t>Les produits disponibles sont chargés depuis Supabase et affichés au client.</w:t>
            </w:r>
          </w:p>
        </w:tc>
      </w:tr>
      <w:tr>
        <w:tc>
          <w:tcPr>
            <w:tcW w:type="dxa" w:w="3360"/>
            <w:vAlign w:val="center"/>
          </w:tcPr>
          <w:p>
            <w:pPr>
              <w:spacing w:after="0"/>
            </w:pPr>
            <w:r/>
            <w:r>
              <w:rPr>
                <w:b w:val="0"/>
                <w:sz w:val="17"/>
              </w:rPr>
              <w:t>F02</w:t>
            </w:r>
          </w:p>
        </w:tc>
        <w:tc>
          <w:tcPr>
            <w:tcW w:type="dxa" w:w="3360"/>
            <w:vAlign w:val="center"/>
          </w:tcPr>
          <w:p>
            <w:pPr>
              <w:spacing w:after="0"/>
            </w:pPr>
            <w:r/>
            <w:r>
              <w:rPr>
                <w:b w:val="0"/>
                <w:sz w:val="17"/>
              </w:rPr>
              <w:t>Panier</w:t>
            </w:r>
          </w:p>
        </w:tc>
        <w:tc>
          <w:tcPr>
            <w:tcW w:type="dxa" w:w="3360"/>
            <w:vAlign w:val="center"/>
          </w:tcPr>
          <w:p>
            <w:pPr>
              <w:spacing w:after="0"/>
            </w:pPr>
            <w:r/>
            <w:r>
              <w:rPr>
                <w:b w:val="0"/>
                <w:sz w:val="17"/>
              </w:rPr>
              <w:t>Le client peut ajouter, retirer, modifier la quantité et renseigner une précision par article.</w:t>
            </w:r>
          </w:p>
        </w:tc>
      </w:tr>
      <w:tr>
        <w:tc>
          <w:tcPr>
            <w:tcW w:type="dxa" w:w="3360"/>
            <w:vAlign w:val="center"/>
          </w:tcPr>
          <w:p>
            <w:pPr>
              <w:spacing w:after="0"/>
            </w:pPr>
            <w:r/>
            <w:r>
              <w:rPr>
                <w:b w:val="0"/>
                <w:sz w:val="17"/>
              </w:rPr>
              <w:t>F03</w:t>
            </w:r>
          </w:p>
        </w:tc>
        <w:tc>
          <w:tcPr>
            <w:tcW w:type="dxa" w:w="3360"/>
            <w:vAlign w:val="center"/>
          </w:tcPr>
          <w:p>
            <w:pPr>
              <w:spacing w:after="0"/>
            </w:pPr>
            <w:r/>
            <w:r>
              <w:rPr>
                <w:b w:val="0"/>
                <w:sz w:val="17"/>
              </w:rPr>
              <w:t>Commande</w:t>
            </w:r>
          </w:p>
        </w:tc>
        <w:tc>
          <w:tcPr>
            <w:tcW w:type="dxa" w:w="3360"/>
            <w:vAlign w:val="center"/>
          </w:tcPr>
          <w:p>
            <w:pPr>
              <w:spacing w:after="0"/>
            </w:pPr>
            <w:r/>
            <w:r>
              <w:rPr>
                <w:b w:val="0"/>
                <w:sz w:val="17"/>
              </w:rPr>
              <w:t>La commande enregistre client, téléphone, mode, horaire, montant et lignes dans Supabase.</w:t>
            </w:r>
          </w:p>
        </w:tc>
      </w:tr>
      <w:tr>
        <w:tc>
          <w:tcPr>
            <w:tcW w:type="dxa" w:w="3360"/>
            <w:vAlign w:val="center"/>
          </w:tcPr>
          <w:p>
            <w:pPr>
              <w:spacing w:after="0"/>
            </w:pPr>
            <w:r/>
            <w:r>
              <w:rPr>
                <w:b w:val="0"/>
                <w:sz w:val="17"/>
              </w:rPr>
              <w:t>F04</w:t>
            </w:r>
          </w:p>
        </w:tc>
        <w:tc>
          <w:tcPr>
            <w:tcW w:type="dxa" w:w="3360"/>
            <w:vAlign w:val="center"/>
          </w:tcPr>
          <w:p>
            <w:pPr>
              <w:spacing w:after="0"/>
            </w:pPr>
            <w:r/>
            <w:r>
              <w:rPr>
                <w:b w:val="0"/>
                <w:sz w:val="17"/>
              </w:rPr>
              <w:t>Précision de commande</w:t>
            </w:r>
          </w:p>
        </w:tc>
        <w:tc>
          <w:tcPr>
            <w:tcW w:type="dxa" w:w="3360"/>
            <w:vAlign w:val="center"/>
          </w:tcPr>
          <w:p>
            <w:pPr>
              <w:spacing w:after="0"/>
            </w:pPr>
            <w:r/>
            <w:r>
              <w:rPr>
                <w:b w:val="0"/>
                <w:sz w:val="17"/>
              </w:rPr>
              <w:t>La note saisie dans le panier est conservée dans order_items.note et visible au dashboard.</w:t>
            </w:r>
          </w:p>
        </w:tc>
      </w:tr>
      <w:tr>
        <w:tc>
          <w:tcPr>
            <w:tcW w:type="dxa" w:w="3360"/>
            <w:vAlign w:val="center"/>
          </w:tcPr>
          <w:p>
            <w:pPr>
              <w:spacing w:after="0"/>
            </w:pPr>
            <w:r/>
            <w:r>
              <w:rPr>
                <w:b w:val="0"/>
                <w:sz w:val="17"/>
              </w:rPr>
              <w:t>F05</w:t>
            </w:r>
          </w:p>
        </w:tc>
        <w:tc>
          <w:tcPr>
            <w:tcW w:type="dxa" w:w="3360"/>
            <w:vAlign w:val="center"/>
          </w:tcPr>
          <w:p>
            <w:pPr>
              <w:spacing w:after="0"/>
            </w:pPr>
            <w:r/>
            <w:r>
              <w:rPr>
                <w:b w:val="0"/>
                <w:sz w:val="17"/>
              </w:rPr>
              <w:t>Fidélité</w:t>
            </w:r>
          </w:p>
        </w:tc>
        <w:tc>
          <w:tcPr>
            <w:tcW w:type="dxa" w:w="3360"/>
            <w:vAlign w:val="center"/>
          </w:tcPr>
          <w:p>
            <w:pPr>
              <w:spacing w:after="0"/>
            </w:pPr>
            <w:r/>
            <w:r>
              <w:rPr>
                <w:b w:val="0"/>
                <w:sz w:val="17"/>
              </w:rPr>
              <w:t>Les pépites sont attribuées selon la règle commerciale configurée et plafonnées au seuil courant.</w:t>
            </w:r>
          </w:p>
        </w:tc>
      </w:tr>
      <w:tr>
        <w:tc>
          <w:tcPr>
            <w:tcW w:type="dxa" w:w="3360"/>
            <w:vAlign w:val="center"/>
          </w:tcPr>
          <w:p>
            <w:pPr>
              <w:spacing w:after="0"/>
            </w:pPr>
            <w:r/>
            <w:r>
              <w:rPr>
                <w:b w:val="0"/>
                <w:sz w:val="17"/>
              </w:rPr>
              <w:t>F06</w:t>
            </w:r>
          </w:p>
        </w:tc>
        <w:tc>
          <w:tcPr>
            <w:tcW w:type="dxa" w:w="3360"/>
            <w:vAlign w:val="center"/>
          </w:tcPr>
          <w:p>
            <w:pPr>
              <w:spacing w:after="0"/>
            </w:pPr>
            <w:r/>
            <w:r>
              <w:rPr>
                <w:b w:val="0"/>
                <w:sz w:val="17"/>
              </w:rPr>
              <w:t>Récompense fidélité</w:t>
            </w:r>
          </w:p>
        </w:tc>
        <w:tc>
          <w:tcPr>
            <w:tcW w:type="dxa" w:w="3360"/>
            <w:vAlign w:val="center"/>
          </w:tcPr>
          <w:p>
            <w:pPr>
              <w:spacing w:after="0"/>
            </w:pPr>
            <w:r/>
            <w:r>
              <w:rPr>
                <w:b w:val="0"/>
                <w:sz w:val="17"/>
              </w:rPr>
              <w:t>À l’atteinte du seuil, une récompense de fidélité est créée une seule fois tant qu’elle n’est pas utilisée.</w:t>
            </w:r>
          </w:p>
        </w:tc>
      </w:tr>
      <w:tr>
        <w:tc>
          <w:tcPr>
            <w:tcW w:type="dxa" w:w="3360"/>
            <w:vAlign w:val="center"/>
          </w:tcPr>
          <w:p>
            <w:pPr>
              <w:spacing w:after="0"/>
            </w:pPr>
            <w:r/>
            <w:r>
              <w:rPr>
                <w:b w:val="0"/>
                <w:sz w:val="17"/>
              </w:rPr>
              <w:t>F07</w:t>
            </w:r>
          </w:p>
        </w:tc>
        <w:tc>
          <w:tcPr>
            <w:tcW w:type="dxa" w:w="3360"/>
            <w:vAlign w:val="center"/>
          </w:tcPr>
          <w:p>
            <w:pPr>
              <w:spacing w:after="0"/>
            </w:pPr>
            <w:r/>
            <w:r>
              <w:rPr>
                <w:b w:val="0"/>
                <w:sz w:val="17"/>
              </w:rPr>
              <w:t>Utilisation fidélité</w:t>
            </w:r>
          </w:p>
        </w:tc>
        <w:tc>
          <w:tcPr>
            <w:tcW w:type="dxa" w:w="3360"/>
            <w:vAlign w:val="center"/>
          </w:tcPr>
          <w:p>
            <w:pPr>
              <w:spacing w:after="0"/>
            </w:pPr>
            <w:r/>
            <w:r>
              <w:rPr>
                <w:b w:val="0"/>
                <w:sz w:val="17"/>
              </w:rPr>
              <w:t>L’utilisation d’une récompense source=loyalty consomme la récompense et réinitialise le compteur au nombre de pépites gagnées par la nouvelle commande.</w:t>
            </w:r>
          </w:p>
        </w:tc>
      </w:tr>
      <w:tr>
        <w:tc>
          <w:tcPr>
            <w:tcW w:type="dxa" w:w="3360"/>
            <w:vAlign w:val="center"/>
          </w:tcPr>
          <w:p>
            <w:pPr>
              <w:spacing w:after="0"/>
            </w:pPr>
            <w:r/>
            <w:r>
              <w:rPr>
                <w:b w:val="0"/>
                <w:sz w:val="17"/>
              </w:rPr>
              <w:t>F08</w:t>
            </w:r>
          </w:p>
        </w:tc>
        <w:tc>
          <w:tcPr>
            <w:tcW w:type="dxa" w:w="3360"/>
            <w:vAlign w:val="center"/>
          </w:tcPr>
          <w:p>
            <w:pPr>
              <w:spacing w:after="0"/>
            </w:pPr>
            <w:r/>
            <w:r>
              <w:rPr>
                <w:b w:val="0"/>
                <w:sz w:val="17"/>
              </w:rPr>
              <w:t>Roue</w:t>
            </w:r>
          </w:p>
        </w:tc>
        <w:tc>
          <w:tcPr>
            <w:tcW w:type="dxa" w:w="3360"/>
            <w:vAlign w:val="center"/>
          </w:tcPr>
          <w:p>
            <w:pPr>
              <w:spacing w:after="0"/>
            </w:pPr>
            <w:r/>
            <w:r>
              <w:rPr>
                <w:b w:val="0"/>
                <w:sz w:val="17"/>
              </w:rPr>
              <w:t>Le client doit renseigner un numéro avant de lancer la roue et ne peut jouer qu’une fois par jour.</w:t>
            </w:r>
          </w:p>
        </w:tc>
      </w:tr>
      <w:tr>
        <w:tc>
          <w:tcPr>
            <w:tcW w:type="dxa" w:w="3360"/>
            <w:vAlign w:val="center"/>
          </w:tcPr>
          <w:p>
            <w:pPr>
              <w:spacing w:after="0"/>
            </w:pPr>
            <w:r/>
            <w:r>
              <w:rPr>
                <w:b w:val="0"/>
                <w:sz w:val="17"/>
              </w:rPr>
              <w:t>F09</w:t>
            </w:r>
          </w:p>
        </w:tc>
        <w:tc>
          <w:tcPr>
            <w:tcW w:type="dxa" w:w="3360"/>
            <w:vAlign w:val="center"/>
          </w:tcPr>
          <w:p>
            <w:pPr>
              <w:spacing w:after="0"/>
            </w:pPr>
            <w:r/>
            <w:r>
              <w:rPr>
                <w:b w:val="0"/>
                <w:sz w:val="17"/>
              </w:rPr>
              <w:t>Probabilités roue</w:t>
            </w:r>
          </w:p>
        </w:tc>
        <w:tc>
          <w:tcPr>
            <w:tcW w:type="dxa" w:w="3360"/>
            <w:vAlign w:val="center"/>
          </w:tcPr>
          <w:p>
            <w:pPr>
              <w:spacing w:after="0"/>
            </w:pPr>
            <w:r/>
            <w:r>
              <w:rPr>
                <w:b w:val="0"/>
                <w:sz w:val="17"/>
              </w:rPr>
              <w:t>Les poids des cases sont configurables depuis Supabase et modifiables dans le dashboard.</w:t>
            </w:r>
          </w:p>
        </w:tc>
      </w:tr>
      <w:tr>
        <w:tc>
          <w:tcPr>
            <w:tcW w:type="dxa" w:w="3360"/>
            <w:vAlign w:val="center"/>
          </w:tcPr>
          <w:p>
            <w:pPr>
              <w:spacing w:after="0"/>
            </w:pPr>
            <w:r/>
            <w:r>
              <w:rPr>
                <w:b w:val="0"/>
                <w:sz w:val="17"/>
              </w:rPr>
              <w:t>F10</w:t>
            </w:r>
          </w:p>
        </w:tc>
        <w:tc>
          <w:tcPr>
            <w:tcW w:type="dxa" w:w="3360"/>
            <w:vAlign w:val="center"/>
          </w:tcPr>
          <w:p>
            <w:pPr>
              <w:spacing w:after="0"/>
            </w:pPr>
            <w:r/>
            <w:r>
              <w:rPr>
                <w:b w:val="0"/>
                <w:sz w:val="17"/>
              </w:rPr>
              <w:t>Parrainage</w:t>
            </w:r>
          </w:p>
        </w:tc>
        <w:tc>
          <w:tcPr>
            <w:tcW w:type="dxa" w:w="3360"/>
            <w:vAlign w:val="center"/>
          </w:tcPr>
          <w:p>
            <w:pPr>
              <w:spacing w:after="0"/>
            </w:pPr>
            <w:r/>
            <w:r>
              <w:rPr>
                <w:b w:val="0"/>
                <w:sz w:val="17"/>
              </w:rPr>
              <w:t>Un code valide est accepté lors de la création d’un nouveau compte sans révéler publiquement sa validité pendant la saisie.</w:t>
            </w:r>
          </w:p>
        </w:tc>
      </w:tr>
      <w:tr>
        <w:tc>
          <w:tcPr>
            <w:tcW w:type="dxa" w:w="3360"/>
            <w:vAlign w:val="center"/>
          </w:tcPr>
          <w:p>
            <w:pPr>
              <w:spacing w:after="0"/>
            </w:pPr>
            <w:r/>
            <w:r>
              <w:rPr>
                <w:b w:val="0"/>
                <w:sz w:val="17"/>
              </w:rPr>
              <w:t>F11</w:t>
            </w:r>
          </w:p>
        </w:tc>
        <w:tc>
          <w:tcPr>
            <w:tcW w:type="dxa" w:w="3360"/>
            <w:vAlign w:val="center"/>
          </w:tcPr>
          <w:p>
            <w:pPr>
              <w:spacing w:after="0"/>
            </w:pPr>
            <w:r/>
            <w:r>
              <w:rPr>
                <w:b w:val="0"/>
                <w:sz w:val="17"/>
              </w:rPr>
              <w:t>Localisation</w:t>
            </w:r>
          </w:p>
        </w:tc>
        <w:tc>
          <w:tcPr>
            <w:tcW w:type="dxa" w:w="3360"/>
            <w:vAlign w:val="center"/>
          </w:tcPr>
          <w:p>
            <w:pPr>
              <w:spacing w:after="0"/>
            </w:pPr>
            <w:r/>
            <w:r>
              <w:rPr>
                <w:b w:val="0"/>
                <w:sz w:val="17"/>
              </w:rPr>
              <w:t>Une localisation active peut être affichée avec nom, adresse, horaires, carte et itinéraire.</w:t>
            </w:r>
          </w:p>
        </w:tc>
      </w:tr>
      <w:tr>
        <w:tc>
          <w:tcPr>
            <w:tcW w:type="dxa" w:w="3360"/>
            <w:vAlign w:val="center"/>
          </w:tcPr>
          <w:p>
            <w:pPr>
              <w:spacing w:after="0"/>
            </w:pPr>
            <w:r/>
            <w:r>
              <w:rPr>
                <w:b w:val="0"/>
                <w:sz w:val="17"/>
              </w:rPr>
              <w:t>F12</w:t>
            </w:r>
          </w:p>
        </w:tc>
        <w:tc>
          <w:tcPr>
            <w:tcW w:type="dxa" w:w="3360"/>
            <w:vAlign w:val="center"/>
          </w:tcPr>
          <w:p>
            <w:pPr>
              <w:spacing w:after="0"/>
            </w:pPr>
            <w:r/>
            <w:r>
              <w:rPr>
                <w:b w:val="0"/>
                <w:sz w:val="17"/>
              </w:rPr>
              <w:t>Dashboard</w:t>
            </w:r>
          </w:p>
        </w:tc>
        <w:tc>
          <w:tcPr>
            <w:tcW w:type="dxa" w:w="3360"/>
            <w:vAlign w:val="center"/>
          </w:tcPr>
          <w:p>
            <w:pPr>
              <w:spacing w:after="0"/>
            </w:pPr>
            <w:r/>
            <w:r>
              <w:rPr>
                <w:b w:val="0"/>
                <w:sz w:val="17"/>
              </w:rPr>
              <w:t>Le dashboard permet le suivi des KPI, commandes, localisation et paramètres commerciaux.</w:t>
            </w:r>
          </w:p>
        </w:tc>
      </w:tr>
    </w:tbl>
    <w:p>
      <w:pPr>
        <w:spacing w:after="0"/>
      </w:pPr>
    </w:p>
    <w:p>
      <w:pPr>
        <w:pStyle w:val="Heading1"/>
      </w:pPr>
      <w:r>
        <w:t>4. Règles métier</w:t>
      </w:r>
    </w:p>
    <w:p>
      <w:pPr>
        <w:pStyle w:val="Heading2"/>
      </w:pPr>
      <w:r>
        <w:t>4.1 Système de pépites</w:t>
      </w:r>
    </w:p>
    <w:p>
      <w:pPr>
        <w:spacing w:after="100"/>
      </w:pPr>
      <w:r>
        <w:t>Le système retenu transforme les pépites en progression vers une récompense, et non en monnaie directement convertible en FCFA. Le seuil courant est configurable dans app_settings et vaut 500 pépites dans la configuration de référence.</w:t>
      </w:r>
    </w:p>
    <w:p>
      <w:pPr>
        <w:pStyle w:val="ListBullet"/>
        <w:spacing w:after="60"/>
      </w:pPr>
      <w:r>
        <w:t>Le solde d’un client ne peut pas dépasser le seuil configuré.</w:t>
      </w:r>
    </w:p>
    <w:p>
      <w:pPr>
        <w:pStyle w:val="ListBullet"/>
        <w:spacing w:after="60"/>
      </w:pPr>
      <w:r>
        <w:t>Les pépites supplémentaires qui feraient dépasser le seuil sont plafonnées.</w:t>
      </w:r>
    </w:p>
    <w:p>
      <w:pPr>
        <w:pStyle w:val="ListBullet"/>
        <w:spacing w:after="60"/>
      </w:pPr>
      <w:r>
        <w:t>Une fois le seuil atteint, une récompense fidélité est disponible.</w:t>
      </w:r>
    </w:p>
    <w:p>
      <w:pPr>
        <w:pStyle w:val="ListBullet"/>
        <w:spacing w:after="60"/>
      </w:pPr>
      <w:r>
        <w:t>Le client conserve le maximum atteint jusqu’à utilisation de la récompense.</w:t>
      </w:r>
    </w:p>
    <w:p>
      <w:pPr>
        <w:pStyle w:val="ListBullet"/>
        <w:spacing w:after="60"/>
      </w:pPr>
      <w:r>
        <w:t>Après utilisation d’une récompense source=loyalty, le compteur est ramené aux pépites gagnées par la commande qui a consommé la récompense.</w:t>
      </w:r>
    </w:p>
    <w:p>
      <w:pPr>
        <w:pStyle w:val="ListBullet"/>
        <w:spacing w:after="60"/>
      </w:pPr>
      <w:r>
        <w:t>Le client est informé qu’il doit utiliser sa réduction pour démarrer un nouveau cycle.</w:t>
      </w:r>
    </w:p>
    <w:p>
      <w:pPr>
        <w:pStyle w:val="Heading2"/>
      </w:pPr>
      <w:r>
        <w:t>4.2 Récompenses fidélité</w:t>
      </w:r>
    </w:p>
    <w:p>
      <w:pPr>
        <w:spacing w:after="100"/>
      </w:pPr>
      <w:r>
        <w:t>La récompense par défaut est -10 %. Le taux est configurable et peut être modifié en -15 % depuis app_settings. Une seule récompense fidélité active doit être conservée pour un client donné à la fois.</w:t>
      </w:r>
    </w:p>
    <w:p>
      <w:pPr>
        <w:pStyle w:val="Heading2"/>
      </w:pPr>
      <w:r>
        <w:t>4.3 Roue de la chance</w:t>
      </w:r>
    </w:p>
    <w:p>
      <w:pPr>
        <w:spacing w:after="100"/>
      </w:pPr>
      <w:r>
        <w:t>La roue comporte actuellement six secteurs dans la configuration de référence : +50 pépites, Crêpe offerte, Réessayez, -10 %, +100 pépites et Oops!. Les poids sont relatifs mais la configuration du dashboard est contrôlée pour totaliser 100 %.</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6B4F2A"/>
          </w:tcPr>
          <w:p>
            <w:pPr>
              <w:spacing w:after="0"/>
            </w:pPr>
            <w:r/>
            <w:r>
              <w:rPr>
                <w:b/>
                <w:color w:val="FFFFFF"/>
                <w:sz w:val="18"/>
              </w:rPr>
              <w:t>Récompense</w:t>
            </w:r>
          </w:p>
        </w:tc>
        <w:tc>
          <w:tcPr>
            <w:tcW w:type="dxa" w:w="5040"/>
            <w:vAlign w:val="center"/>
            <w:shd w:fill="6B4F2A"/>
          </w:tcPr>
          <w:p>
            <w:pPr>
              <w:spacing w:after="0"/>
            </w:pPr>
            <w:r/>
            <w:r>
              <w:rPr>
                <w:b/>
                <w:color w:val="FFFFFF"/>
                <w:sz w:val="18"/>
              </w:rPr>
              <w:t>Poids de référence</w:t>
            </w:r>
          </w:p>
        </w:tc>
      </w:tr>
      <w:tr>
        <w:tc>
          <w:tcPr>
            <w:tcW w:type="dxa" w:w="5040"/>
            <w:vAlign w:val="center"/>
          </w:tcPr>
          <w:p>
            <w:pPr>
              <w:spacing w:after="0"/>
            </w:pPr>
            <w:r/>
            <w:r>
              <w:rPr>
                <w:b w:val="0"/>
                <w:sz w:val="17"/>
              </w:rPr>
              <w:t>+50 pépites</w:t>
            </w:r>
          </w:p>
        </w:tc>
        <w:tc>
          <w:tcPr>
            <w:tcW w:type="dxa" w:w="5040"/>
            <w:vAlign w:val="center"/>
          </w:tcPr>
          <w:p>
            <w:pPr>
              <w:spacing w:after="0"/>
            </w:pPr>
            <w:r/>
            <w:r>
              <w:rPr>
                <w:b w:val="0"/>
                <w:sz w:val="17"/>
              </w:rPr>
              <w:t>20 %</w:t>
            </w:r>
          </w:p>
        </w:tc>
      </w:tr>
      <w:tr>
        <w:tc>
          <w:tcPr>
            <w:tcW w:type="dxa" w:w="5040"/>
            <w:vAlign w:val="center"/>
          </w:tcPr>
          <w:p>
            <w:pPr>
              <w:spacing w:after="0"/>
            </w:pPr>
            <w:r/>
            <w:r>
              <w:rPr>
                <w:b w:val="0"/>
                <w:sz w:val="17"/>
              </w:rPr>
              <w:t>🥞 Crêpe offerte</w:t>
            </w:r>
          </w:p>
        </w:tc>
        <w:tc>
          <w:tcPr>
            <w:tcW w:type="dxa" w:w="5040"/>
            <w:vAlign w:val="center"/>
          </w:tcPr>
          <w:p>
            <w:pPr>
              <w:spacing w:after="0"/>
            </w:pPr>
            <w:r/>
            <w:r>
              <w:rPr>
                <w:b w:val="0"/>
                <w:sz w:val="17"/>
              </w:rPr>
              <w:t>5 %</w:t>
            </w:r>
          </w:p>
        </w:tc>
      </w:tr>
      <w:tr>
        <w:tc>
          <w:tcPr>
            <w:tcW w:type="dxa" w:w="5040"/>
            <w:vAlign w:val="center"/>
          </w:tcPr>
          <w:p>
            <w:pPr>
              <w:spacing w:after="0"/>
            </w:pPr>
            <w:r/>
            <w:r>
              <w:rPr>
                <w:b w:val="0"/>
                <w:sz w:val="17"/>
              </w:rPr>
              <w:t>Réessayez</w:t>
            </w:r>
          </w:p>
        </w:tc>
        <w:tc>
          <w:tcPr>
            <w:tcW w:type="dxa" w:w="5040"/>
            <w:vAlign w:val="center"/>
          </w:tcPr>
          <w:p>
            <w:pPr>
              <w:spacing w:after="0"/>
            </w:pPr>
            <w:r/>
            <w:r>
              <w:rPr>
                <w:b w:val="0"/>
                <w:sz w:val="17"/>
              </w:rPr>
              <w:t>35 %</w:t>
            </w:r>
          </w:p>
        </w:tc>
      </w:tr>
      <w:tr>
        <w:tc>
          <w:tcPr>
            <w:tcW w:type="dxa" w:w="5040"/>
            <w:vAlign w:val="center"/>
          </w:tcPr>
          <w:p>
            <w:pPr>
              <w:spacing w:after="0"/>
            </w:pPr>
            <w:r/>
            <w:r>
              <w:rPr>
                <w:b w:val="0"/>
                <w:sz w:val="17"/>
              </w:rPr>
              <w:t>-10 %</w:t>
            </w:r>
          </w:p>
        </w:tc>
        <w:tc>
          <w:tcPr>
            <w:tcW w:type="dxa" w:w="5040"/>
            <w:vAlign w:val="center"/>
          </w:tcPr>
          <w:p>
            <w:pPr>
              <w:spacing w:after="0"/>
            </w:pPr>
            <w:r/>
            <w:r>
              <w:rPr>
                <w:b w:val="0"/>
                <w:sz w:val="17"/>
              </w:rPr>
              <w:t>10 %</w:t>
            </w:r>
          </w:p>
        </w:tc>
      </w:tr>
      <w:tr>
        <w:tc>
          <w:tcPr>
            <w:tcW w:type="dxa" w:w="5040"/>
            <w:vAlign w:val="center"/>
          </w:tcPr>
          <w:p>
            <w:pPr>
              <w:spacing w:after="0"/>
            </w:pPr>
            <w:r/>
            <w:r>
              <w:rPr>
                <w:b w:val="0"/>
                <w:sz w:val="17"/>
              </w:rPr>
              <w:t>+100 pépites</w:t>
            </w:r>
          </w:p>
        </w:tc>
        <w:tc>
          <w:tcPr>
            <w:tcW w:type="dxa" w:w="5040"/>
            <w:vAlign w:val="center"/>
          </w:tcPr>
          <w:p>
            <w:pPr>
              <w:spacing w:after="0"/>
            </w:pPr>
            <w:r/>
            <w:r>
              <w:rPr>
                <w:b w:val="0"/>
                <w:sz w:val="17"/>
              </w:rPr>
              <w:t>10 %</w:t>
            </w:r>
          </w:p>
        </w:tc>
      </w:tr>
      <w:tr>
        <w:tc>
          <w:tcPr>
            <w:tcW w:type="dxa" w:w="5040"/>
            <w:vAlign w:val="center"/>
          </w:tcPr>
          <w:p>
            <w:pPr>
              <w:spacing w:after="0"/>
            </w:pPr>
            <w:r/>
            <w:r>
              <w:rPr>
                <w:b w:val="0"/>
                <w:sz w:val="17"/>
              </w:rPr>
              <w:t>Oops!</w:t>
            </w:r>
          </w:p>
        </w:tc>
        <w:tc>
          <w:tcPr>
            <w:tcW w:type="dxa" w:w="5040"/>
            <w:vAlign w:val="center"/>
          </w:tcPr>
          <w:p>
            <w:pPr>
              <w:spacing w:after="0"/>
            </w:pPr>
            <w:r/>
            <w:r>
              <w:rPr>
                <w:b w:val="0"/>
                <w:sz w:val="17"/>
              </w:rPr>
              <w:t>20 %</w:t>
            </w:r>
          </w:p>
        </w:tc>
      </w:tr>
    </w:tbl>
    <w:p>
      <w:pPr>
        <w:spacing w:after="0"/>
      </w:pPr>
    </w:p>
    <w:p>
      <w:pPr>
        <w:pStyle w:val="ListBullet"/>
        <w:spacing w:after="60"/>
      </w:pPr>
      <w:r>
        <w:t>Un numéro de téléphone est requis avant le lancement.</w:t>
      </w:r>
    </w:p>
    <w:p>
      <w:pPr>
        <w:pStyle w:val="ListBullet"/>
        <w:spacing w:after="60"/>
      </w:pPr>
      <w:r>
        <w:t>Un numéro non enregistré déclenche une notification et ne permet pas de jouer.</w:t>
      </w:r>
    </w:p>
    <w:p>
      <w:pPr>
        <w:pStyle w:val="ListBullet"/>
        <w:spacing w:after="60"/>
      </w:pPr>
      <w:r>
        <w:t>Un client ne peut jouer qu’une fois sur une période journalière contrôlée par wheel_spins.created_at.</w:t>
      </w:r>
    </w:p>
    <w:p>
      <w:pPr>
        <w:pStyle w:val="ListBullet"/>
        <w:spacing w:after="60"/>
      </w:pPr>
      <w:r>
        <w:t>Les gains de pépites issus de la roue sont soumis au même plafond de fidélité.</w:t>
      </w:r>
    </w:p>
    <w:p>
      <w:pPr>
        <w:pStyle w:val="Heading2"/>
      </w:pPr>
      <w:r>
        <w:t>4.4 Parrainage</w:t>
      </w:r>
    </w:p>
    <w:p>
      <w:pPr>
        <w:pStyle w:val="ListBullet"/>
        <w:spacing w:after="60"/>
      </w:pPr>
      <w:r>
        <w:t>Le code de parrainage est saisi dans le panier uniquement lorsque le client est nouveau.</w:t>
      </w:r>
    </w:p>
    <w:p>
      <w:pPr>
        <w:pStyle w:val="ListBullet"/>
        <w:spacing w:after="60"/>
      </w:pPr>
      <w:r>
        <w:t>Le système refuse l’auto-parrainage.</w:t>
      </w:r>
    </w:p>
    <w:p>
      <w:pPr>
        <w:pStyle w:val="ListBullet"/>
        <w:spacing w:after="60"/>
      </w:pPr>
      <w:r>
        <w:t>La validité du code n’est pas affichée en vert/rouge pendant la saisie.</w:t>
      </w:r>
    </w:p>
    <w:p>
      <w:pPr>
        <w:pStyle w:val="ListBullet"/>
        <w:spacing w:after="60"/>
      </w:pPr>
      <w:r>
        <w:t>Si le code est accepté, la confirmation de commande peut afficher le code accepté avec un symbole de validation.</w:t>
      </w:r>
    </w:p>
    <w:p>
      <w:pPr>
        <w:pStyle w:val="ListBullet"/>
        <w:spacing w:after="60"/>
      </w:pPr>
      <w:r>
        <w:t>Un code invalide ne doit pas apparaître dans la confirmation.</w:t>
      </w:r>
    </w:p>
    <w:p>
      <w:pPr>
        <w:pStyle w:val="Heading2"/>
      </w:pPr>
      <w:r>
        <w:t>4.5 Localisation</w:t>
      </w:r>
    </w:p>
    <w:p>
      <w:pPr>
        <w:pStyle w:val="ListBullet"/>
        <w:spacing w:after="60"/>
      </w:pPr>
      <w:r>
        <w:t>La localisation n’est pas obligatoire car l’activité physique est ponctuelle.</w:t>
      </w:r>
    </w:p>
    <w:p>
      <w:pPr>
        <w:pStyle w:val="ListBullet"/>
        <w:spacing w:after="60"/>
      </w:pPr>
      <w:r>
        <w:t>Le champ active sert d’interrupteur métier.</w:t>
      </w:r>
    </w:p>
    <w:p>
      <w:pPr>
        <w:pStyle w:val="ListBullet"/>
        <w:spacing w:after="60"/>
      </w:pPr>
      <w:r>
        <w:t>OFF : la section localisation est absente du site public.</w:t>
      </w:r>
    </w:p>
    <w:p>
      <w:pPr>
        <w:pStyle w:val="ListBullet"/>
        <w:spacing w:after="60"/>
      </w:pPr>
      <w:r>
        <w:t>ON : les informations et la carte sont visibles si des coordonnées GPS sont disponibles.</w:t>
      </w:r>
    </w:p>
    <w:p>
      <w:pPr>
        <w:pStyle w:val="ListBullet"/>
        <w:spacing w:after="60"/>
      </w:pPr>
      <w:r>
        <w:t>Le dashboard conserve la fiche même lorsqu’elle est inactive afin de pouvoir la réactiver.</w:t>
      </w:r>
    </w:p>
    <w:p>
      <w:pPr>
        <w:pStyle w:val="Heading1"/>
      </w:pPr>
      <w:r>
        <w:t>5. Parcours et interface</w:t>
      </w:r>
    </w:p>
    <w:p>
      <w:pPr>
        <w:pStyle w:val="Heading2"/>
      </w:pPr>
      <w:r>
        <w:t>5.1 Parcours client</w:t>
      </w:r>
    </w:p>
    <w:p>
      <w:pPr>
        <w:spacing w:after="100"/>
      </w:pPr>
      <w:r>
        <w:t>Accueil → consultation du catalogue → ajout au panier → saisie des informations → éventuel code de parrainage → sélection d’une récompense disponible → validation → confirmation de commande.</w:t>
      </w:r>
    </w:p>
    <w:p>
      <w:pPr>
        <w:pStyle w:val="Heading2"/>
      </w:pPr>
      <w:r>
        <w:t>5.2 Espace fidélité</w:t>
      </w:r>
    </w:p>
    <w:p>
      <w:pPr>
        <w:spacing w:after="100"/>
      </w:pPr>
      <w:r>
        <w:t>Le client saisit son numéro. Si le compte existe, le solde et le code de parrainage personnel sont affichés. Si le numéro n’existe pas, une notification discrète informe qu’aucun espace fidélité n’est associé à ce numéro.</w:t>
      </w:r>
    </w:p>
    <w:p>
      <w:pPr>
        <w:pStyle w:val="Heading2"/>
      </w:pPr>
      <w:r>
        <w:t>5.3 Panier</w:t>
      </w:r>
    </w:p>
    <w:p>
      <w:pPr>
        <w:spacing w:after="100"/>
      </w:pPr>
      <w:r>
        <w:t>Les précisions par article sont enregistrées avec la ligne de commande. Les récompenses disponibles sont affichées sans exposer la validité des codes de parrainage. Une récompense fidélité disponible déclenche un rappel expliquant qu’elle doit être utilisée pour réinitialiser le cycle de pépites.</w:t>
      </w:r>
    </w:p>
    <w:p>
      <w:pPr>
        <w:pStyle w:val="Heading2"/>
      </w:pPr>
      <w:r>
        <w:t>5.4 Dashboard</w:t>
      </w:r>
    </w:p>
    <w:p>
      <w:pPr>
        <w:spacing w:after="100"/>
      </w:pPr>
      <w:r>
        <w:t>Le dashboard doit rester volontairement compact : KPI commerciaux existants, commandes récentes, contrôle de la localisation et paramètres de fidélité/roue. Le produit ne vise pas un outil de business intelligence.</w:t>
      </w:r>
    </w:p>
    <w:p>
      <w:pPr>
        <w:pStyle w:val="Heading1"/>
      </w:pPr>
      <w:r>
        <w:t>6. Architecture technique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6B4F2A"/>
          </w:tcPr>
          <w:p>
            <w:pPr>
              <w:spacing w:after="0"/>
            </w:pPr>
            <w:r/>
            <w:r>
              <w:rPr>
                <w:b/>
                <w:color w:val="FFFFFF"/>
                <w:sz w:val="18"/>
              </w:rPr>
              <w:t>Couche</w:t>
            </w:r>
          </w:p>
        </w:tc>
        <w:tc>
          <w:tcPr>
            <w:tcW w:type="dxa" w:w="5040"/>
            <w:vAlign w:val="center"/>
            <w:shd w:fill="6B4F2A"/>
          </w:tcPr>
          <w:p>
            <w:pPr>
              <w:spacing w:after="0"/>
            </w:pPr>
            <w:r/>
            <w:r>
              <w:rPr>
                <w:b/>
                <w:color w:val="FFFFFF"/>
                <w:sz w:val="18"/>
              </w:rPr>
              <w:t>Technologies / éléments</w:t>
            </w:r>
          </w:p>
        </w:tc>
      </w:tr>
      <w:tr>
        <w:tc>
          <w:tcPr>
            <w:tcW w:type="dxa" w:w="5040"/>
            <w:vAlign w:val="center"/>
          </w:tcPr>
          <w:p>
            <w:pPr>
              <w:spacing w:after="0"/>
            </w:pPr>
            <w:r/>
            <w:r>
              <w:rPr>
                <w:b w:val="0"/>
                <w:sz w:val="17"/>
              </w:rPr>
              <w:t>Frontend</w:t>
            </w:r>
          </w:p>
        </w:tc>
        <w:tc>
          <w:tcPr>
            <w:tcW w:type="dxa" w:w="5040"/>
            <w:vAlign w:val="center"/>
          </w:tcPr>
          <w:p>
            <w:pPr>
              <w:spacing w:after="0"/>
            </w:pPr>
            <w:r/>
            <w:r>
              <w:rPr>
                <w:b w:val="0"/>
                <w:sz w:val="17"/>
              </w:rPr>
              <w:t>React 19, TanStack Router / Start, Tailwind CSS, Lucide React</w:t>
            </w:r>
          </w:p>
        </w:tc>
      </w:tr>
      <w:tr>
        <w:tc>
          <w:tcPr>
            <w:tcW w:type="dxa" w:w="5040"/>
            <w:vAlign w:val="center"/>
          </w:tcPr>
          <w:p>
            <w:pPr>
              <w:spacing w:after="0"/>
            </w:pPr>
            <w:r/>
            <w:r>
              <w:rPr>
                <w:b w:val="0"/>
                <w:sz w:val="17"/>
              </w:rPr>
              <w:t>Backend / données</w:t>
            </w:r>
          </w:p>
        </w:tc>
        <w:tc>
          <w:tcPr>
            <w:tcW w:type="dxa" w:w="5040"/>
            <w:vAlign w:val="center"/>
          </w:tcPr>
          <w:p>
            <w:pPr>
              <w:spacing w:after="0"/>
            </w:pPr>
            <w:r/>
            <w:r>
              <w:rPr>
                <w:b w:val="0"/>
                <w:sz w:val="17"/>
              </w:rPr>
              <w:t>Supabase PostgreSQL + Supabase Auth + Supabase Storage</w:t>
            </w:r>
          </w:p>
        </w:tc>
      </w:tr>
      <w:tr>
        <w:tc>
          <w:tcPr>
            <w:tcW w:type="dxa" w:w="5040"/>
            <w:vAlign w:val="center"/>
          </w:tcPr>
          <w:p>
            <w:pPr>
              <w:spacing w:after="0"/>
            </w:pPr>
            <w:r/>
            <w:r>
              <w:rPr>
                <w:b w:val="0"/>
                <w:sz w:val="17"/>
              </w:rPr>
              <w:t>Cartographie</w:t>
            </w:r>
          </w:p>
        </w:tc>
        <w:tc>
          <w:tcPr>
            <w:tcW w:type="dxa" w:w="5040"/>
            <w:vAlign w:val="center"/>
          </w:tcPr>
          <w:p>
            <w:pPr>
              <w:spacing w:after="0"/>
            </w:pPr>
            <w:r/>
            <w:r>
              <w:rPr>
                <w:b w:val="0"/>
                <w:sz w:val="17"/>
              </w:rPr>
              <w:t>Leaflet + React Leaflet, rendu client pour éviter les conflits SSR</w:t>
            </w:r>
          </w:p>
        </w:tc>
      </w:tr>
      <w:tr>
        <w:tc>
          <w:tcPr>
            <w:tcW w:type="dxa" w:w="5040"/>
            <w:vAlign w:val="center"/>
          </w:tcPr>
          <w:p>
            <w:pPr>
              <w:spacing w:after="0"/>
            </w:pPr>
            <w:r/>
            <w:r>
              <w:rPr>
                <w:b w:val="0"/>
                <w:sz w:val="17"/>
              </w:rPr>
              <w:t>Build</w:t>
            </w:r>
          </w:p>
        </w:tc>
        <w:tc>
          <w:tcPr>
            <w:tcW w:type="dxa" w:w="5040"/>
            <w:vAlign w:val="center"/>
          </w:tcPr>
          <w:p>
            <w:pPr>
              <w:spacing w:after="0"/>
            </w:pPr>
            <w:r/>
            <w:r>
              <w:rPr>
                <w:b w:val="0"/>
                <w:sz w:val="17"/>
              </w:rPr>
              <w:t>Vite 8 + TanStack Start</w:t>
            </w:r>
          </w:p>
        </w:tc>
      </w:tr>
      <w:tr>
        <w:tc>
          <w:tcPr>
            <w:tcW w:type="dxa" w:w="5040"/>
            <w:vAlign w:val="center"/>
          </w:tcPr>
          <w:p>
            <w:pPr>
              <w:spacing w:after="0"/>
            </w:pPr>
            <w:r/>
            <w:r>
              <w:rPr>
                <w:b w:val="0"/>
                <w:sz w:val="17"/>
              </w:rPr>
              <w:t>Qualité</w:t>
            </w:r>
          </w:p>
        </w:tc>
        <w:tc>
          <w:tcPr>
            <w:tcW w:type="dxa" w:w="5040"/>
            <w:vAlign w:val="center"/>
          </w:tcPr>
          <w:p>
            <w:pPr>
              <w:spacing w:after="0"/>
            </w:pPr>
            <w:r/>
            <w:r>
              <w:rPr>
                <w:b w:val="0"/>
                <w:sz w:val="17"/>
              </w:rPr>
              <w:t>TypeScript, npm scripts, build de production</w:t>
            </w:r>
          </w:p>
        </w:tc>
      </w:tr>
      <w:tr>
        <w:tc>
          <w:tcPr>
            <w:tcW w:type="dxa" w:w="5040"/>
            <w:vAlign w:val="center"/>
          </w:tcPr>
          <w:p>
            <w:pPr>
              <w:spacing w:after="0"/>
            </w:pPr>
            <w:r/>
            <w:r>
              <w:rPr>
                <w:b w:val="0"/>
                <w:sz w:val="17"/>
              </w:rPr>
              <w:t>Versioning</w:t>
            </w:r>
          </w:p>
        </w:tc>
        <w:tc>
          <w:tcPr>
            <w:tcW w:type="dxa" w:w="5040"/>
            <w:vAlign w:val="center"/>
          </w:tcPr>
          <w:p>
            <w:pPr>
              <w:spacing w:after="0"/>
            </w:pPr>
            <w:r/>
            <w:r>
              <w:rPr>
                <w:b w:val="0"/>
                <w:sz w:val="17"/>
              </w:rPr>
              <w:t>Git + GitHub, branche main</w:t>
            </w:r>
          </w:p>
        </w:tc>
      </w:tr>
      <w:tr>
        <w:tc>
          <w:tcPr>
            <w:tcW w:type="dxa" w:w="5040"/>
            <w:vAlign w:val="center"/>
          </w:tcPr>
          <w:p>
            <w:pPr>
              <w:spacing w:after="0"/>
            </w:pPr>
            <w:r/>
            <w:r>
              <w:rPr>
                <w:b w:val="0"/>
                <w:sz w:val="17"/>
              </w:rPr>
              <w:t>Déploiement cible</w:t>
            </w:r>
          </w:p>
        </w:tc>
        <w:tc>
          <w:tcPr>
            <w:tcW w:type="dxa" w:w="5040"/>
            <w:vAlign w:val="center"/>
          </w:tcPr>
          <w:p>
            <w:pPr>
              <w:spacing w:after="0"/>
            </w:pPr>
            <w:r/>
            <w:r>
              <w:rPr>
                <w:b w:val="0"/>
                <w:sz w:val="17"/>
              </w:rPr>
              <w:t>Netlify pour la version web</w:t>
            </w:r>
          </w:p>
        </w:tc>
      </w:tr>
    </w:tbl>
    <w:p>
      <w:pPr>
        <w:spacing w:after="0"/>
      </w:pPr>
    </w:p>
    <w:p>
      <w:pPr>
        <w:pStyle w:val="Heading2"/>
      </w:pPr>
      <w:r>
        <w:t>6.1 Fichiers clés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6B4F2A"/>
          </w:tcPr>
          <w:p>
            <w:pPr>
              <w:spacing w:after="0"/>
            </w:pPr>
            <w:r/>
            <w:r>
              <w:rPr>
                <w:b/>
                <w:color w:val="FFFFFF"/>
                <w:sz w:val="18"/>
              </w:rPr>
              <w:t>Fichier</w:t>
            </w:r>
          </w:p>
        </w:tc>
        <w:tc>
          <w:tcPr>
            <w:tcW w:type="dxa" w:w="5040"/>
            <w:vAlign w:val="center"/>
            <w:shd w:fill="6B4F2A"/>
          </w:tcPr>
          <w:p>
            <w:pPr>
              <w:spacing w:after="0"/>
            </w:pPr>
            <w:r/>
            <w:r>
              <w:rPr>
                <w:b/>
                <w:color w:val="FFFFFF"/>
                <w:sz w:val="18"/>
              </w:rPr>
              <w:t>Rôle</w:t>
            </w:r>
          </w:p>
        </w:tc>
      </w:tr>
      <w:tr>
        <w:tc>
          <w:tcPr>
            <w:tcW w:type="dxa" w:w="5040"/>
            <w:vAlign w:val="center"/>
          </w:tcPr>
          <w:p>
            <w:pPr>
              <w:spacing w:after="0"/>
            </w:pPr>
            <w:r/>
            <w:r>
              <w:rPr>
                <w:b w:val="0"/>
                <w:sz w:val="17"/>
              </w:rPr>
              <w:t>src/routes/index.tsx</w:t>
            </w:r>
          </w:p>
        </w:tc>
        <w:tc>
          <w:tcPr>
            <w:tcW w:type="dxa" w:w="5040"/>
            <w:vAlign w:val="center"/>
          </w:tcPr>
          <w:p>
            <w:pPr>
              <w:spacing w:after="0"/>
            </w:pPr>
            <w:r/>
            <w:r>
              <w:rPr>
                <w:b w:val="0"/>
                <w:sz w:val="17"/>
              </w:rPr>
              <w:t>Page publique principale, espace fidélité, localisation et parcours client.</w:t>
            </w:r>
          </w:p>
        </w:tc>
      </w:tr>
      <w:tr>
        <w:tc>
          <w:tcPr>
            <w:tcW w:type="dxa" w:w="5040"/>
            <w:vAlign w:val="center"/>
          </w:tcPr>
          <w:p>
            <w:pPr>
              <w:spacing w:after="0"/>
            </w:pPr>
            <w:r/>
            <w:r>
              <w:rPr>
                <w:b w:val="0"/>
                <w:sz w:val="17"/>
              </w:rPr>
              <w:t>src/routes/dashboard.tsx</w:t>
            </w:r>
          </w:p>
        </w:tc>
        <w:tc>
          <w:tcPr>
            <w:tcW w:type="dxa" w:w="5040"/>
            <w:vAlign w:val="center"/>
          </w:tcPr>
          <w:p>
            <w:pPr>
              <w:spacing w:after="0"/>
            </w:pPr>
            <w:r/>
            <w:r>
              <w:rPr>
                <w:b w:val="0"/>
                <w:sz w:val="17"/>
              </w:rPr>
              <w:t>Dashboard administrateur, KPI, commandes, localisation et paramètres.</w:t>
            </w:r>
          </w:p>
        </w:tc>
      </w:tr>
      <w:tr>
        <w:tc>
          <w:tcPr>
            <w:tcW w:type="dxa" w:w="5040"/>
            <w:vAlign w:val="center"/>
          </w:tcPr>
          <w:p>
            <w:pPr>
              <w:spacing w:after="0"/>
            </w:pPr>
            <w:r/>
            <w:r>
              <w:rPr>
                <w:b w:val="0"/>
                <w:sz w:val="17"/>
              </w:rPr>
              <w:t>src/routes/admin-login.tsx</w:t>
            </w:r>
          </w:p>
        </w:tc>
        <w:tc>
          <w:tcPr>
            <w:tcW w:type="dxa" w:w="5040"/>
            <w:vAlign w:val="center"/>
          </w:tcPr>
          <w:p>
            <w:pPr>
              <w:spacing w:after="0"/>
            </w:pPr>
            <w:r/>
            <w:r>
              <w:rPr>
                <w:b w:val="0"/>
                <w:sz w:val="17"/>
              </w:rPr>
              <w:t>Authentification administrateur.</w:t>
            </w:r>
          </w:p>
        </w:tc>
      </w:tr>
      <w:tr>
        <w:tc>
          <w:tcPr>
            <w:tcW w:type="dxa" w:w="5040"/>
            <w:vAlign w:val="center"/>
          </w:tcPr>
          <w:p>
            <w:pPr>
              <w:spacing w:after="0"/>
            </w:pPr>
            <w:r/>
            <w:r>
              <w:rPr>
                <w:b w:val="0"/>
                <w:sz w:val="17"/>
              </w:rPr>
              <w:t>src/components/CartSheet.tsx</w:t>
            </w:r>
          </w:p>
        </w:tc>
        <w:tc>
          <w:tcPr>
            <w:tcW w:type="dxa" w:w="5040"/>
            <w:vAlign w:val="center"/>
          </w:tcPr>
          <w:p>
            <w:pPr>
              <w:spacing w:after="0"/>
            </w:pPr>
            <w:r/>
            <w:r>
              <w:rPr>
                <w:b w:val="0"/>
                <w:sz w:val="17"/>
              </w:rPr>
              <w:t>Panier, validation de commande, récompenses, notes et parrainage.</w:t>
            </w:r>
          </w:p>
        </w:tc>
      </w:tr>
      <w:tr>
        <w:tc>
          <w:tcPr>
            <w:tcW w:type="dxa" w:w="5040"/>
            <w:vAlign w:val="center"/>
          </w:tcPr>
          <w:p>
            <w:pPr>
              <w:spacing w:after="0"/>
            </w:pPr>
            <w:r/>
            <w:r>
              <w:rPr>
                <w:b w:val="0"/>
                <w:sz w:val="17"/>
              </w:rPr>
              <w:t>src/components/LuckyWheel.tsx</w:t>
            </w:r>
          </w:p>
        </w:tc>
        <w:tc>
          <w:tcPr>
            <w:tcW w:type="dxa" w:w="5040"/>
            <w:vAlign w:val="center"/>
          </w:tcPr>
          <w:p>
            <w:pPr>
              <w:spacing w:after="0"/>
            </w:pPr>
            <w:r/>
            <w:r>
              <w:rPr>
                <w:b w:val="0"/>
                <w:sz w:val="17"/>
              </w:rPr>
              <w:t>Interface et mécanique de la roue côté client.</w:t>
            </w:r>
          </w:p>
        </w:tc>
      </w:tr>
      <w:tr>
        <w:tc>
          <w:tcPr>
            <w:tcW w:type="dxa" w:w="5040"/>
            <w:vAlign w:val="center"/>
          </w:tcPr>
          <w:p>
            <w:pPr>
              <w:spacing w:after="0"/>
            </w:pPr>
            <w:r/>
            <w:r>
              <w:rPr>
                <w:b w:val="0"/>
                <w:sz w:val="17"/>
              </w:rPr>
              <w:t>src/components/LocationMap.client.tsx</w:t>
            </w:r>
          </w:p>
        </w:tc>
        <w:tc>
          <w:tcPr>
            <w:tcW w:type="dxa" w:w="5040"/>
            <w:vAlign w:val="center"/>
          </w:tcPr>
          <w:p>
            <w:pPr>
              <w:spacing w:after="0"/>
            </w:pPr>
            <w:r/>
            <w:r>
              <w:rPr>
                <w:b w:val="0"/>
                <w:sz w:val="17"/>
              </w:rPr>
              <w:t>Carte Leaflet rendue côté client.</w:t>
            </w:r>
          </w:p>
        </w:tc>
      </w:tr>
      <w:tr>
        <w:tc>
          <w:tcPr>
            <w:tcW w:type="dxa" w:w="5040"/>
            <w:vAlign w:val="center"/>
          </w:tcPr>
          <w:p>
            <w:pPr>
              <w:spacing w:after="0"/>
            </w:pPr>
            <w:r/>
            <w:r>
              <w:rPr>
                <w:b w:val="0"/>
                <w:sz w:val="17"/>
              </w:rPr>
              <w:t>src/lib/orders.ts</w:t>
            </w:r>
          </w:p>
        </w:tc>
        <w:tc>
          <w:tcPr>
            <w:tcW w:type="dxa" w:w="5040"/>
            <w:vAlign w:val="center"/>
          </w:tcPr>
          <w:p>
            <w:pPr>
              <w:spacing w:after="0"/>
            </w:pPr>
            <w:r/>
            <w:r>
              <w:rPr>
                <w:b w:val="0"/>
                <w:sz w:val="17"/>
              </w:rPr>
              <w:t>Création de commande, traitement fidélité et parrainage.</w:t>
            </w:r>
          </w:p>
        </w:tc>
      </w:tr>
      <w:tr>
        <w:tc>
          <w:tcPr>
            <w:tcW w:type="dxa" w:w="5040"/>
            <w:vAlign w:val="center"/>
          </w:tcPr>
          <w:p>
            <w:pPr>
              <w:spacing w:after="0"/>
            </w:pPr>
            <w:r/>
            <w:r>
              <w:rPr>
                <w:b w:val="0"/>
                <w:sz w:val="17"/>
              </w:rPr>
              <w:t>src/lib/cart-store.tsx</w:t>
            </w:r>
          </w:p>
        </w:tc>
        <w:tc>
          <w:tcPr>
            <w:tcW w:type="dxa" w:w="5040"/>
            <w:vAlign w:val="center"/>
          </w:tcPr>
          <w:p>
            <w:pPr>
              <w:spacing w:after="0"/>
            </w:pPr>
            <w:r/>
            <w:r>
              <w:rPr>
                <w:b w:val="0"/>
                <w:sz w:val="17"/>
              </w:rPr>
              <w:t>État du panier et soumission de commande.</w:t>
            </w:r>
          </w:p>
        </w:tc>
      </w:tr>
      <w:tr>
        <w:tc>
          <w:tcPr>
            <w:tcW w:type="dxa" w:w="5040"/>
            <w:vAlign w:val="center"/>
          </w:tcPr>
          <w:p>
            <w:pPr>
              <w:spacing w:after="0"/>
            </w:pPr>
            <w:r/>
            <w:r>
              <w:rPr>
                <w:b w:val="0"/>
                <w:sz w:val="17"/>
              </w:rPr>
              <w:t>src/lib/customers.ts</w:t>
            </w:r>
          </w:p>
        </w:tc>
        <w:tc>
          <w:tcPr>
            <w:tcW w:type="dxa" w:w="5040"/>
            <w:vAlign w:val="center"/>
          </w:tcPr>
          <w:p>
            <w:pPr>
              <w:spacing w:after="0"/>
            </w:pPr>
            <w:r/>
            <w:r>
              <w:rPr>
                <w:b w:val="0"/>
                <w:sz w:val="17"/>
              </w:rPr>
              <w:t>Recherche/création de clients et gestion des points.</w:t>
            </w:r>
          </w:p>
        </w:tc>
      </w:tr>
      <w:tr>
        <w:tc>
          <w:tcPr>
            <w:tcW w:type="dxa" w:w="5040"/>
            <w:vAlign w:val="center"/>
          </w:tcPr>
          <w:p>
            <w:pPr>
              <w:spacing w:after="0"/>
            </w:pPr>
            <w:r/>
            <w:r>
              <w:rPr>
                <w:b w:val="0"/>
                <w:sz w:val="17"/>
              </w:rPr>
              <w:t>src/lib/rewards.ts</w:t>
            </w:r>
          </w:p>
        </w:tc>
        <w:tc>
          <w:tcPr>
            <w:tcW w:type="dxa" w:w="5040"/>
            <w:vAlign w:val="center"/>
          </w:tcPr>
          <w:p>
            <w:pPr>
              <w:spacing w:after="0"/>
            </w:pPr>
            <w:r/>
            <w:r>
              <w:rPr>
                <w:b w:val="0"/>
                <w:sz w:val="17"/>
              </w:rPr>
              <w:t>Création, récupération et consommation des récompenses.</w:t>
            </w:r>
          </w:p>
        </w:tc>
      </w:tr>
      <w:tr>
        <w:tc>
          <w:tcPr>
            <w:tcW w:type="dxa" w:w="5040"/>
            <w:vAlign w:val="center"/>
          </w:tcPr>
          <w:p>
            <w:pPr>
              <w:spacing w:after="0"/>
            </w:pPr>
            <w:r/>
            <w:r>
              <w:rPr>
                <w:b w:val="0"/>
                <w:sz w:val="17"/>
              </w:rPr>
              <w:t>src/lib/wheel.ts</w:t>
            </w:r>
          </w:p>
        </w:tc>
        <w:tc>
          <w:tcPr>
            <w:tcW w:type="dxa" w:w="5040"/>
            <w:vAlign w:val="center"/>
          </w:tcPr>
          <w:p>
            <w:pPr>
              <w:spacing w:after="0"/>
            </w:pPr>
            <w:r/>
            <w:r>
              <w:rPr>
                <w:b w:val="0"/>
                <w:sz w:val="17"/>
              </w:rPr>
              <w:t>Tours de roue, limitation journalière et ajout de pépites.</w:t>
            </w:r>
          </w:p>
        </w:tc>
      </w:tr>
      <w:tr>
        <w:tc>
          <w:tcPr>
            <w:tcW w:type="dxa" w:w="5040"/>
            <w:vAlign w:val="center"/>
          </w:tcPr>
          <w:p>
            <w:pPr>
              <w:spacing w:after="0"/>
            </w:pPr>
            <w:r/>
            <w:r>
              <w:rPr>
                <w:b w:val="0"/>
                <w:sz w:val="17"/>
              </w:rPr>
              <w:t>src/lib/locations.ts</w:t>
            </w:r>
          </w:p>
        </w:tc>
        <w:tc>
          <w:tcPr>
            <w:tcW w:type="dxa" w:w="5040"/>
            <w:vAlign w:val="center"/>
          </w:tcPr>
          <w:p>
            <w:pPr>
              <w:spacing w:after="0"/>
            </w:pPr>
            <w:r/>
            <w:r>
              <w:rPr>
                <w:b w:val="0"/>
                <w:sz w:val="17"/>
              </w:rPr>
              <w:t>Lecture et mise à jour de la localisation.</w:t>
            </w:r>
          </w:p>
        </w:tc>
      </w:tr>
      <w:tr>
        <w:tc>
          <w:tcPr>
            <w:tcW w:type="dxa" w:w="5040"/>
            <w:vAlign w:val="center"/>
          </w:tcPr>
          <w:p>
            <w:pPr>
              <w:spacing w:after="0"/>
            </w:pPr>
            <w:r/>
            <w:r>
              <w:rPr>
                <w:b w:val="0"/>
                <w:sz w:val="17"/>
              </w:rPr>
              <w:t>src/lib/settings.ts</w:t>
            </w:r>
          </w:p>
        </w:tc>
        <w:tc>
          <w:tcPr>
            <w:tcW w:type="dxa" w:w="5040"/>
            <w:vAlign w:val="center"/>
          </w:tcPr>
          <w:p>
            <w:pPr>
              <w:spacing w:after="0"/>
            </w:pPr>
            <w:r/>
            <w:r>
              <w:rPr>
                <w:b w:val="0"/>
                <w:sz w:val="17"/>
              </w:rPr>
              <w:t>Lecture et mise à jour des paramètres commerciaux.</w:t>
            </w:r>
          </w:p>
        </w:tc>
      </w:tr>
      <w:tr>
        <w:tc>
          <w:tcPr>
            <w:tcW w:type="dxa" w:w="5040"/>
            <w:vAlign w:val="center"/>
          </w:tcPr>
          <w:p>
            <w:pPr>
              <w:spacing w:after="0"/>
            </w:pPr>
            <w:r/>
            <w:r>
              <w:rPr>
                <w:b w:val="0"/>
                <w:sz w:val="17"/>
              </w:rPr>
              <w:t>src/lib/loyalty.ts</w:t>
            </w:r>
          </w:p>
        </w:tc>
        <w:tc>
          <w:tcPr>
            <w:tcW w:type="dxa" w:w="5040"/>
            <w:vAlign w:val="center"/>
          </w:tcPr>
          <w:p>
            <w:pPr>
              <w:spacing w:after="0"/>
            </w:pPr>
            <w:r/>
            <w:r>
              <w:rPr>
                <w:b w:val="0"/>
                <w:sz w:val="17"/>
              </w:rPr>
              <w:t>Règles communes de fidélité et seuil par défaut.</w:t>
            </w:r>
          </w:p>
        </w:tc>
      </w:tr>
      <w:tr>
        <w:tc>
          <w:tcPr>
            <w:tcW w:type="dxa" w:w="5040"/>
            <w:vAlign w:val="center"/>
          </w:tcPr>
          <w:p>
            <w:pPr>
              <w:spacing w:after="0"/>
            </w:pPr>
            <w:r/>
            <w:r>
              <w:rPr>
                <w:b w:val="0"/>
                <w:sz w:val="17"/>
              </w:rPr>
              <w:t>src/lib/supabase.ts</w:t>
            </w:r>
          </w:p>
        </w:tc>
        <w:tc>
          <w:tcPr>
            <w:tcW w:type="dxa" w:w="5040"/>
            <w:vAlign w:val="center"/>
          </w:tcPr>
          <w:p>
            <w:pPr>
              <w:spacing w:after="0"/>
            </w:pPr>
            <w:r/>
            <w:r>
              <w:rPr>
                <w:b w:val="0"/>
                <w:sz w:val="17"/>
              </w:rPr>
              <w:t>Client Supabase.</w:t>
            </w:r>
          </w:p>
        </w:tc>
      </w:tr>
    </w:tbl>
    <w:p>
      <w:pPr>
        <w:spacing w:after="0"/>
      </w:pPr>
    </w:p>
    <w:p>
      <w:pPr>
        <w:pStyle w:val="Heading1"/>
      </w:pPr>
      <w:r>
        <w:t>7. Modèle de données et sécurité</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6B4F2A"/>
          </w:tcPr>
          <w:p>
            <w:pPr>
              <w:spacing w:after="0"/>
            </w:pPr>
            <w:r/>
            <w:r>
              <w:rPr>
                <w:b/>
                <w:color w:val="FFFFFF"/>
                <w:sz w:val="18"/>
              </w:rPr>
              <w:t>Table</w:t>
            </w:r>
          </w:p>
        </w:tc>
        <w:tc>
          <w:tcPr>
            <w:tcW w:type="dxa" w:w="5040"/>
            <w:vAlign w:val="center"/>
            <w:shd w:fill="6B4F2A"/>
          </w:tcPr>
          <w:p>
            <w:pPr>
              <w:spacing w:after="0"/>
            </w:pPr>
            <w:r/>
            <w:r>
              <w:rPr>
                <w:b/>
                <w:color w:val="FFFFFF"/>
                <w:sz w:val="18"/>
              </w:rPr>
              <w:t>Usage principal</w:t>
            </w:r>
          </w:p>
        </w:tc>
      </w:tr>
      <w:tr>
        <w:tc>
          <w:tcPr>
            <w:tcW w:type="dxa" w:w="5040"/>
            <w:vAlign w:val="center"/>
          </w:tcPr>
          <w:p>
            <w:pPr>
              <w:spacing w:after="0"/>
            </w:pPr>
            <w:r/>
            <w:r>
              <w:rPr>
                <w:b w:val="0"/>
                <w:sz w:val="17"/>
              </w:rPr>
              <w:t>products</w:t>
            </w:r>
          </w:p>
        </w:tc>
        <w:tc>
          <w:tcPr>
            <w:tcW w:type="dxa" w:w="5040"/>
            <w:vAlign w:val="center"/>
          </w:tcPr>
          <w:p>
            <w:pPr>
              <w:spacing w:after="0"/>
            </w:pPr>
            <w:r/>
            <w:r>
              <w:rPr>
                <w:b w:val="0"/>
                <w:sz w:val="17"/>
              </w:rPr>
              <w:t>Catalogue : nom, description, ingrédients, prix, image, catégorie, disponibilité, badge.</w:t>
            </w:r>
          </w:p>
        </w:tc>
      </w:tr>
      <w:tr>
        <w:tc>
          <w:tcPr>
            <w:tcW w:type="dxa" w:w="5040"/>
            <w:vAlign w:val="center"/>
          </w:tcPr>
          <w:p>
            <w:pPr>
              <w:spacing w:after="0"/>
            </w:pPr>
            <w:r/>
            <w:r>
              <w:rPr>
                <w:b w:val="0"/>
                <w:sz w:val="17"/>
              </w:rPr>
              <w:t>orders</w:t>
            </w:r>
          </w:p>
        </w:tc>
        <w:tc>
          <w:tcPr>
            <w:tcW w:type="dxa" w:w="5040"/>
            <w:vAlign w:val="center"/>
          </w:tcPr>
          <w:p>
            <w:pPr>
              <w:spacing w:after="0"/>
            </w:pPr>
            <w:r/>
            <w:r>
              <w:rPr>
                <w:b w:val="0"/>
                <w:sz w:val="17"/>
              </w:rPr>
              <w:t>En-tête de commande : client, téléphone, mode, heure, total, statut, date.</w:t>
            </w:r>
          </w:p>
        </w:tc>
      </w:tr>
      <w:tr>
        <w:tc>
          <w:tcPr>
            <w:tcW w:type="dxa" w:w="5040"/>
            <w:vAlign w:val="center"/>
          </w:tcPr>
          <w:p>
            <w:pPr>
              <w:spacing w:after="0"/>
            </w:pPr>
            <w:r/>
            <w:r>
              <w:rPr>
                <w:b w:val="0"/>
                <w:sz w:val="17"/>
              </w:rPr>
              <w:t>order_items</w:t>
            </w:r>
          </w:p>
        </w:tc>
        <w:tc>
          <w:tcPr>
            <w:tcW w:type="dxa" w:w="5040"/>
            <w:vAlign w:val="center"/>
          </w:tcPr>
          <w:p>
            <w:pPr>
              <w:spacing w:after="0"/>
            </w:pPr>
            <w:r/>
            <w:r>
              <w:rPr>
                <w:b w:val="0"/>
                <w:sz w:val="17"/>
              </w:rPr>
              <w:t>Lignes de commande, prix, quantité et note client.</w:t>
            </w:r>
          </w:p>
        </w:tc>
      </w:tr>
      <w:tr>
        <w:tc>
          <w:tcPr>
            <w:tcW w:type="dxa" w:w="5040"/>
            <w:vAlign w:val="center"/>
          </w:tcPr>
          <w:p>
            <w:pPr>
              <w:spacing w:after="0"/>
            </w:pPr>
            <w:r/>
            <w:r>
              <w:rPr>
                <w:b w:val="0"/>
                <w:sz w:val="17"/>
              </w:rPr>
              <w:t>customers</w:t>
            </w:r>
          </w:p>
        </w:tc>
        <w:tc>
          <w:tcPr>
            <w:tcW w:type="dxa" w:w="5040"/>
            <w:vAlign w:val="center"/>
          </w:tcPr>
          <w:p>
            <w:pPr>
              <w:spacing w:after="0"/>
            </w:pPr>
            <w:r/>
            <w:r>
              <w:rPr>
                <w:b w:val="0"/>
                <w:sz w:val="17"/>
              </w:rPr>
              <w:t>Compte fidélité : nom, téléphone, pépites, code de parrainage et relation de parrainage.</w:t>
            </w:r>
          </w:p>
        </w:tc>
      </w:tr>
      <w:tr>
        <w:tc>
          <w:tcPr>
            <w:tcW w:type="dxa" w:w="5040"/>
            <w:vAlign w:val="center"/>
          </w:tcPr>
          <w:p>
            <w:pPr>
              <w:spacing w:after="0"/>
            </w:pPr>
            <w:r/>
            <w:r>
              <w:rPr>
                <w:b w:val="0"/>
                <w:sz w:val="17"/>
              </w:rPr>
              <w:t>customer_rewards</w:t>
            </w:r>
          </w:p>
        </w:tc>
        <w:tc>
          <w:tcPr>
            <w:tcW w:type="dxa" w:w="5040"/>
            <w:vAlign w:val="center"/>
          </w:tcPr>
          <w:p>
            <w:pPr>
              <w:spacing w:after="0"/>
            </w:pPr>
            <w:r/>
            <w:r>
              <w:rPr>
                <w:b w:val="0"/>
                <w:sz w:val="17"/>
              </w:rPr>
              <w:t>Récompenses disponibles/utilisées, notamment source loyalty, wheel ou referral.</w:t>
            </w:r>
          </w:p>
        </w:tc>
      </w:tr>
      <w:tr>
        <w:tc>
          <w:tcPr>
            <w:tcW w:type="dxa" w:w="5040"/>
            <w:vAlign w:val="center"/>
          </w:tcPr>
          <w:p>
            <w:pPr>
              <w:spacing w:after="0"/>
            </w:pPr>
            <w:r/>
            <w:r>
              <w:rPr>
                <w:b w:val="0"/>
                <w:sz w:val="17"/>
              </w:rPr>
              <w:t>wheel_spins</w:t>
            </w:r>
          </w:p>
        </w:tc>
        <w:tc>
          <w:tcPr>
            <w:tcW w:type="dxa" w:w="5040"/>
            <w:vAlign w:val="center"/>
          </w:tcPr>
          <w:p>
            <w:pPr>
              <w:spacing w:after="0"/>
            </w:pPr>
            <w:r/>
            <w:r>
              <w:rPr>
                <w:b w:val="0"/>
                <w:sz w:val="17"/>
              </w:rPr>
              <w:t>Historique des tours de roue et contrôle du jeu quotidien.</w:t>
            </w:r>
          </w:p>
        </w:tc>
      </w:tr>
      <w:tr>
        <w:tc>
          <w:tcPr>
            <w:tcW w:type="dxa" w:w="5040"/>
            <w:vAlign w:val="center"/>
          </w:tcPr>
          <w:p>
            <w:pPr>
              <w:spacing w:after="0"/>
            </w:pPr>
            <w:r/>
            <w:r>
              <w:rPr>
                <w:b w:val="0"/>
                <w:sz w:val="17"/>
              </w:rPr>
              <w:t>locations</w:t>
            </w:r>
          </w:p>
        </w:tc>
        <w:tc>
          <w:tcPr>
            <w:tcW w:type="dxa" w:w="5040"/>
            <w:vAlign w:val="center"/>
          </w:tcPr>
          <w:p>
            <w:pPr>
              <w:spacing w:after="0"/>
            </w:pPr>
            <w:r/>
            <w:r>
              <w:rPr>
                <w:b w:val="0"/>
                <w:sz w:val="17"/>
              </w:rPr>
              <w:t>Localisation optionnelle, coordonnées, horaires et statut active.</w:t>
            </w:r>
          </w:p>
        </w:tc>
      </w:tr>
      <w:tr>
        <w:tc>
          <w:tcPr>
            <w:tcW w:type="dxa" w:w="5040"/>
            <w:vAlign w:val="center"/>
          </w:tcPr>
          <w:p>
            <w:pPr>
              <w:spacing w:after="0"/>
            </w:pPr>
            <w:r/>
            <w:r>
              <w:rPr>
                <w:b w:val="0"/>
                <w:sz w:val="17"/>
              </w:rPr>
              <w:t>app_settings</w:t>
            </w:r>
          </w:p>
        </w:tc>
        <w:tc>
          <w:tcPr>
            <w:tcW w:type="dxa" w:w="5040"/>
            <w:vAlign w:val="center"/>
          </w:tcPr>
          <w:p>
            <w:pPr>
              <w:spacing w:after="0"/>
            </w:pPr>
            <w:r/>
            <w:r>
              <w:rPr>
                <w:b w:val="0"/>
                <w:sz w:val="17"/>
              </w:rPr>
              <w:t>Paramètres commerciaux : seuil fidélité, récompense, probabilités de roue.</w:t>
            </w:r>
          </w:p>
        </w:tc>
      </w:tr>
    </w:tbl>
    <w:p>
      <w:pPr>
        <w:spacing w:after="0"/>
      </w:pPr>
    </w:p>
    <w:p>
      <w:pPr>
        <w:pStyle w:val="Heading2"/>
      </w:pPr>
      <w:r>
        <w:t>7.1 Principes RLS</w:t>
      </w:r>
    </w:p>
    <w:p>
      <w:pPr>
        <w:pStyle w:val="ListBullet"/>
        <w:spacing w:after="60"/>
      </w:pPr>
      <w:r>
        <w:t>Les tables utilisées par le site public nécessitent des policies explicitement prévues pour le rôle anon.</w:t>
      </w:r>
    </w:p>
    <w:p>
      <w:pPr>
        <w:pStyle w:val="ListBullet"/>
        <w:spacing w:after="60"/>
      </w:pPr>
      <w:r>
        <w:t>Le dashboard est protégé par Supabase Auth et dispose de policies adaptées aux utilisateurs authenticated.</w:t>
      </w:r>
    </w:p>
    <w:p>
      <w:pPr>
        <w:pStyle w:val="ListBullet"/>
        <w:spacing w:after="60"/>
      </w:pPr>
      <w:r>
        <w:t>La clé anon Supabase peut être utilisée côté frontend ; les clés de privilège serveur ne doivent jamais être exposées dans le dépôt ou le frontend.</w:t>
      </w:r>
    </w:p>
    <w:p>
      <w:pPr>
        <w:pStyle w:val="ListBullet"/>
        <w:spacing w:after="60"/>
      </w:pPr>
      <w:r>
        <w:t>Le fichier .env est exclu de Git et ne doit pas être publié.</w:t>
      </w:r>
    </w:p>
    <w:p>
      <w:pPr>
        <w:pStyle w:val="Heading1"/>
      </w:pPr>
      <w:r>
        <w:t>8. Paramètres administrables</w:t>
      </w:r>
    </w:p>
    <w:p>
      <w:pPr>
        <w:spacing w:after="100"/>
      </w:pPr>
      <w:r>
        <w:t>La table app_settings centralise les principaux paramètres commerciaux afin que les règles puissent évoluer sans modification du code source.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B4F2A"/>
          </w:tcPr>
          <w:p>
            <w:pPr>
              <w:spacing w:after="0"/>
            </w:pPr>
            <w:r/>
            <w:r>
              <w:rPr>
                <w:b/>
                <w:color w:val="FFFFFF"/>
                <w:sz w:val="18"/>
              </w:rPr>
              <w:t>Paramètre</w:t>
            </w:r>
          </w:p>
        </w:tc>
        <w:tc>
          <w:tcPr>
            <w:tcW w:type="dxa" w:w="3360"/>
            <w:vAlign w:val="center"/>
            <w:shd w:fill="6B4F2A"/>
          </w:tcPr>
          <w:p>
            <w:pPr>
              <w:spacing w:after="0"/>
            </w:pPr>
            <w:r/>
            <w:r>
              <w:rPr>
                <w:b/>
                <w:color w:val="FFFFFF"/>
                <w:sz w:val="18"/>
              </w:rPr>
              <w:t>Valeur de référence</w:t>
            </w:r>
          </w:p>
        </w:tc>
        <w:tc>
          <w:tcPr>
            <w:tcW w:type="dxa" w:w="3360"/>
            <w:vAlign w:val="center"/>
            <w:shd w:fill="6B4F2A"/>
          </w:tcPr>
          <w:p>
            <w:pPr>
              <w:spacing w:after="0"/>
            </w:pPr>
            <w:r/>
            <w:r>
              <w:rPr>
                <w:b/>
                <w:color w:val="FFFFFF"/>
                <w:sz w:val="18"/>
              </w:rPr>
              <w:t>Modifiable via dashboard</w:t>
            </w:r>
          </w:p>
        </w:tc>
      </w:tr>
      <w:tr>
        <w:tc>
          <w:tcPr>
            <w:tcW w:type="dxa" w:w="3360"/>
            <w:vAlign w:val="center"/>
          </w:tcPr>
          <w:p>
            <w:pPr>
              <w:spacing w:after="0"/>
            </w:pPr>
            <w:r/>
            <w:r>
              <w:rPr>
                <w:b w:val="0"/>
                <w:sz w:val="17"/>
              </w:rPr>
              <w:t>loyalty_threshold</w:t>
            </w:r>
          </w:p>
        </w:tc>
        <w:tc>
          <w:tcPr>
            <w:tcW w:type="dxa" w:w="3360"/>
            <w:vAlign w:val="center"/>
          </w:tcPr>
          <w:p>
            <w:pPr>
              <w:spacing w:after="0"/>
            </w:pPr>
            <w:r/>
            <w:r>
              <w:rPr>
                <w:b w:val="0"/>
                <w:sz w:val="17"/>
              </w:rPr>
              <w:t>500</w:t>
            </w:r>
          </w:p>
        </w:tc>
        <w:tc>
          <w:tcPr>
            <w:tcW w:type="dxa" w:w="3360"/>
            <w:vAlign w:val="center"/>
          </w:tcPr>
          <w:p>
            <w:pPr>
              <w:spacing w:after="0"/>
            </w:pPr>
            <w:r/>
            <w:r>
              <w:rPr>
                <w:b w:val="0"/>
                <w:sz w:val="17"/>
              </w:rPr>
              <w:t>Oui</w:t>
            </w:r>
          </w:p>
        </w:tc>
      </w:tr>
      <w:tr>
        <w:tc>
          <w:tcPr>
            <w:tcW w:type="dxa" w:w="3360"/>
            <w:vAlign w:val="center"/>
          </w:tcPr>
          <w:p>
            <w:pPr>
              <w:spacing w:after="0"/>
            </w:pPr>
            <w:r/>
            <w:r>
              <w:rPr>
                <w:b w:val="0"/>
                <w:sz w:val="17"/>
              </w:rPr>
              <w:t>loyalty_reward</w:t>
            </w:r>
          </w:p>
        </w:tc>
        <w:tc>
          <w:tcPr>
            <w:tcW w:type="dxa" w:w="3360"/>
            <w:vAlign w:val="center"/>
          </w:tcPr>
          <w:p>
            <w:pPr>
              <w:spacing w:after="0"/>
            </w:pPr>
            <w:r/>
            <w:r>
              <w:rPr>
                <w:b w:val="0"/>
                <w:sz w:val="17"/>
              </w:rPr>
              <w:t>-10%</w:t>
            </w:r>
          </w:p>
        </w:tc>
        <w:tc>
          <w:tcPr>
            <w:tcW w:type="dxa" w:w="3360"/>
            <w:vAlign w:val="center"/>
          </w:tcPr>
          <w:p>
            <w:pPr>
              <w:spacing w:after="0"/>
            </w:pPr>
            <w:r/>
            <w:r>
              <w:rPr>
                <w:b w:val="0"/>
                <w:sz w:val="17"/>
              </w:rPr>
              <w:t>Oui</w:t>
            </w:r>
          </w:p>
        </w:tc>
      </w:tr>
      <w:tr>
        <w:tc>
          <w:tcPr>
            <w:tcW w:type="dxa" w:w="3360"/>
            <w:vAlign w:val="center"/>
          </w:tcPr>
          <w:p>
            <w:pPr>
              <w:spacing w:after="0"/>
            </w:pPr>
            <w:r/>
            <w:r>
              <w:rPr>
                <w:b w:val="0"/>
                <w:sz w:val="17"/>
              </w:rPr>
              <w:t>wheel_prizes</w:t>
            </w:r>
          </w:p>
        </w:tc>
        <w:tc>
          <w:tcPr>
            <w:tcW w:type="dxa" w:w="3360"/>
            <w:vAlign w:val="center"/>
          </w:tcPr>
          <w:p>
            <w:pPr>
              <w:spacing w:after="0"/>
            </w:pPr>
            <w:r/>
            <w:r>
              <w:rPr>
                <w:b w:val="0"/>
                <w:sz w:val="17"/>
              </w:rPr>
              <w:t>6 secteurs, total 100 %</w:t>
            </w:r>
          </w:p>
        </w:tc>
        <w:tc>
          <w:tcPr>
            <w:tcW w:type="dxa" w:w="3360"/>
            <w:vAlign w:val="center"/>
          </w:tcPr>
          <w:p>
            <w:pPr>
              <w:spacing w:after="0"/>
            </w:pPr>
            <w:r/>
            <w:r>
              <w:rPr>
                <w:b w:val="0"/>
                <w:sz w:val="17"/>
              </w:rPr>
              <w:t>Oui</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7F0E5"/>
            <w:vAlign w:val="center"/>
          </w:tcPr>
          <w:p>
            <w:pPr>
              <w:spacing w:after="40"/>
            </w:pPr>
            <w:r/>
            <w:r>
              <w:rPr>
                <w:b w:val="0"/>
                <w:sz w:val="18"/>
              </w:rPr>
            </w:r>
            <w:r>
              <w:rPr>
                <w:b/>
                <w:color w:val="6B4F2A"/>
                <w:sz w:val="21"/>
              </w:rPr>
              <w:t>Règle de cohérence</w:t>
            </w:r>
          </w:p>
          <w:p>
            <w:pPr>
              <w:spacing w:after="0"/>
            </w:pPr>
            <w:r>
              <w:t>Le bouton d’enregistrement des paramètres de roue doit rester désactivé si le total des poids n’est pas égal à 100 %.</w:t>
            </w:r>
          </w:p>
        </w:tc>
      </w:tr>
    </w:tbl>
    <w:p>
      <w:pPr>
        <w:spacing w:after="0"/>
      </w:pPr>
    </w:p>
    <w:p>
      <w:pPr>
        <w:pStyle w:val="Heading1"/>
      </w:pPr>
      <w:r>
        <w:t>9. Exigences non fonctionnelles</w:t>
      </w:r>
    </w:p>
    <w:p>
      <w:pPr>
        <w:pStyle w:val="ListBullet"/>
        <w:spacing w:after="60"/>
      </w:pPr>
      <w:r>
        <w:t>Fiabilité : une commande validée ne doit pas perdre ses lignes ou ses précisions.</w:t>
      </w:r>
    </w:p>
    <w:p>
      <w:pPr>
        <w:pStyle w:val="ListBullet"/>
        <w:spacing w:after="60"/>
      </w:pPr>
      <w:r>
        <w:t>Lisibilité : le dashboard doit rester utilisable sur ordinateur et tablette sans surcharge visuelle.</w:t>
      </w:r>
    </w:p>
    <w:p>
      <w:pPr>
        <w:pStyle w:val="ListBullet"/>
        <w:spacing w:after="60"/>
      </w:pPr>
      <w:r>
        <w:t>Sécurité : aucun secret serveur dans le frontend, dans Git ou dans les fichiers publics.</w:t>
      </w:r>
    </w:p>
    <w:p>
      <w:pPr>
        <w:pStyle w:val="ListBullet"/>
        <w:spacing w:after="60"/>
      </w:pPr>
      <w:r>
        <w:t>Maintenabilité : les règles commerciales doivent être centralisées et les valeurs par défaut explicites.</w:t>
      </w:r>
    </w:p>
    <w:p>
      <w:pPr>
        <w:pStyle w:val="ListBullet"/>
        <w:spacing w:after="60"/>
      </w:pPr>
      <w:r>
        <w:t>Compatibilité : le site doit fonctionner sur les navigateurs modernes et ne pas provoquer d’erreur SSR pour les composants navigateur comme Leaflet.</w:t>
      </w:r>
    </w:p>
    <w:p>
      <w:pPr>
        <w:pStyle w:val="ListBullet"/>
        <w:spacing w:after="60"/>
      </w:pPr>
      <w:r>
        <w:t>Réversibilité : chaque chantier majeur doit être sauvegardé par un commit Git avant passage au chantier suivant.</w:t>
      </w:r>
    </w:p>
    <w:p>
      <w:pPr>
        <w:pStyle w:val="Heading1"/>
      </w:pPr>
      <w:r>
        <w:t>10. Tests et critères d’acceptation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B4F2A"/>
          </w:tcPr>
          <w:p>
            <w:pPr>
              <w:spacing w:after="0"/>
            </w:pPr>
            <w:r/>
            <w:r>
              <w:rPr>
                <w:b/>
                <w:color w:val="FFFFFF"/>
                <w:sz w:val="18"/>
              </w:rPr>
              <w:t>Test</w:t>
            </w:r>
          </w:p>
        </w:tc>
        <w:tc>
          <w:tcPr>
            <w:tcW w:type="dxa" w:w="3360"/>
            <w:vAlign w:val="center"/>
            <w:shd w:fill="6B4F2A"/>
          </w:tcPr>
          <w:p>
            <w:pPr>
              <w:spacing w:after="0"/>
            </w:pPr>
            <w:r/>
            <w:r>
              <w:rPr>
                <w:b/>
                <w:color w:val="FFFFFF"/>
                <w:sz w:val="18"/>
              </w:rPr>
              <w:t>Action</w:t>
            </w:r>
          </w:p>
        </w:tc>
        <w:tc>
          <w:tcPr>
            <w:tcW w:type="dxa" w:w="3360"/>
            <w:vAlign w:val="center"/>
            <w:shd w:fill="6B4F2A"/>
          </w:tcPr>
          <w:p>
            <w:pPr>
              <w:spacing w:after="0"/>
            </w:pPr>
            <w:r/>
            <w:r>
              <w:rPr>
                <w:b/>
                <w:color w:val="FFFFFF"/>
                <w:sz w:val="18"/>
              </w:rPr>
              <w:t>Résultat attendu</w:t>
            </w:r>
          </w:p>
        </w:tc>
      </w:tr>
      <w:tr>
        <w:tc>
          <w:tcPr>
            <w:tcW w:type="dxa" w:w="3360"/>
            <w:vAlign w:val="center"/>
          </w:tcPr>
          <w:p>
            <w:pPr>
              <w:spacing w:after="0"/>
            </w:pPr>
            <w:r/>
            <w:r>
              <w:rPr>
                <w:b w:val="0"/>
                <w:sz w:val="17"/>
              </w:rPr>
              <w:t>T01</w:t>
            </w:r>
          </w:p>
        </w:tc>
        <w:tc>
          <w:tcPr>
            <w:tcW w:type="dxa" w:w="3360"/>
            <w:vAlign w:val="center"/>
          </w:tcPr>
          <w:p>
            <w:pPr>
              <w:spacing w:after="0"/>
            </w:pPr>
            <w:r/>
            <w:r>
              <w:rPr>
                <w:b w:val="0"/>
                <w:sz w:val="17"/>
              </w:rPr>
              <w:t>Numéro fidélité inconnu</w:t>
            </w:r>
          </w:p>
        </w:tc>
        <w:tc>
          <w:tcPr>
            <w:tcW w:type="dxa" w:w="3360"/>
            <w:vAlign w:val="center"/>
          </w:tcPr>
          <w:p>
            <w:pPr>
              <w:spacing w:after="0"/>
            </w:pPr>
            <w:r/>
            <w:r>
              <w:rPr>
                <w:b w:val="0"/>
                <w:sz w:val="17"/>
              </w:rPr>
              <w:t>Notification discrète ; aucun solde ni code personnel affiché.</w:t>
            </w:r>
          </w:p>
        </w:tc>
      </w:tr>
      <w:tr>
        <w:tc>
          <w:tcPr>
            <w:tcW w:type="dxa" w:w="3360"/>
            <w:vAlign w:val="center"/>
          </w:tcPr>
          <w:p>
            <w:pPr>
              <w:spacing w:after="0"/>
            </w:pPr>
            <w:r/>
            <w:r>
              <w:rPr>
                <w:b w:val="0"/>
                <w:sz w:val="17"/>
              </w:rPr>
              <w:t>T02</w:t>
            </w:r>
          </w:p>
        </w:tc>
        <w:tc>
          <w:tcPr>
            <w:tcW w:type="dxa" w:w="3360"/>
            <w:vAlign w:val="center"/>
          </w:tcPr>
          <w:p>
            <w:pPr>
              <w:spacing w:after="0"/>
            </w:pPr>
            <w:r/>
            <w:r>
              <w:rPr>
                <w:b w:val="0"/>
                <w:sz w:val="17"/>
              </w:rPr>
              <w:t>Numéro existant</w:t>
            </w:r>
          </w:p>
        </w:tc>
        <w:tc>
          <w:tcPr>
            <w:tcW w:type="dxa" w:w="3360"/>
            <w:vAlign w:val="center"/>
          </w:tcPr>
          <w:p>
            <w:pPr>
              <w:spacing w:after="0"/>
            </w:pPr>
            <w:r/>
            <w:r>
              <w:rPr>
                <w:b w:val="0"/>
                <w:sz w:val="17"/>
              </w:rPr>
              <w:t>Solde et code personnel affichés.</w:t>
            </w:r>
          </w:p>
        </w:tc>
      </w:tr>
      <w:tr>
        <w:tc>
          <w:tcPr>
            <w:tcW w:type="dxa" w:w="3360"/>
            <w:vAlign w:val="center"/>
          </w:tcPr>
          <w:p>
            <w:pPr>
              <w:spacing w:after="0"/>
            </w:pPr>
            <w:r/>
            <w:r>
              <w:rPr>
                <w:b w:val="0"/>
                <w:sz w:val="17"/>
              </w:rPr>
              <w:t>T03</w:t>
            </w:r>
          </w:p>
        </w:tc>
        <w:tc>
          <w:tcPr>
            <w:tcW w:type="dxa" w:w="3360"/>
            <w:vAlign w:val="center"/>
          </w:tcPr>
          <w:p>
            <w:pPr>
              <w:spacing w:after="0"/>
            </w:pPr>
            <w:r/>
            <w:r>
              <w:rPr>
                <w:b w:val="0"/>
                <w:sz w:val="17"/>
              </w:rPr>
              <w:t>Note de commande</w:t>
            </w:r>
          </w:p>
        </w:tc>
        <w:tc>
          <w:tcPr>
            <w:tcW w:type="dxa" w:w="3360"/>
            <w:vAlign w:val="center"/>
          </w:tcPr>
          <w:p>
            <w:pPr>
              <w:spacing w:after="0"/>
            </w:pPr>
            <w:r/>
            <w:r>
              <w:rPr>
                <w:b w:val="0"/>
                <w:sz w:val="17"/>
              </w:rPr>
              <w:t>La note est présente dans order_items.note et visible au dashboard.</w:t>
            </w:r>
          </w:p>
        </w:tc>
      </w:tr>
      <w:tr>
        <w:tc>
          <w:tcPr>
            <w:tcW w:type="dxa" w:w="3360"/>
            <w:vAlign w:val="center"/>
          </w:tcPr>
          <w:p>
            <w:pPr>
              <w:spacing w:after="0"/>
            </w:pPr>
            <w:r/>
            <w:r>
              <w:rPr>
                <w:b w:val="0"/>
                <w:sz w:val="17"/>
              </w:rPr>
              <w:t>T04</w:t>
            </w:r>
          </w:p>
        </w:tc>
        <w:tc>
          <w:tcPr>
            <w:tcW w:type="dxa" w:w="3360"/>
            <w:vAlign w:val="center"/>
          </w:tcPr>
          <w:p>
            <w:pPr>
              <w:spacing w:after="0"/>
            </w:pPr>
            <w:r/>
            <w:r>
              <w:rPr>
                <w:b w:val="0"/>
                <w:sz w:val="17"/>
              </w:rPr>
              <w:t>CA journalier</w:t>
            </w:r>
          </w:p>
        </w:tc>
        <w:tc>
          <w:tcPr>
            <w:tcW w:type="dxa" w:w="3360"/>
            <w:vAlign w:val="center"/>
          </w:tcPr>
          <w:p>
            <w:pPr>
              <w:spacing w:after="0"/>
            </w:pPr>
            <w:r/>
            <w:r>
              <w:rPr>
                <w:b w:val="0"/>
                <w:sz w:val="17"/>
              </w:rPr>
              <w:t>Les barres correspondent aux commandes non annulées de chaque jour.</w:t>
            </w:r>
          </w:p>
        </w:tc>
      </w:tr>
      <w:tr>
        <w:tc>
          <w:tcPr>
            <w:tcW w:type="dxa" w:w="3360"/>
            <w:vAlign w:val="center"/>
          </w:tcPr>
          <w:p>
            <w:pPr>
              <w:spacing w:after="0"/>
            </w:pPr>
            <w:r/>
            <w:r>
              <w:rPr>
                <w:b w:val="0"/>
                <w:sz w:val="17"/>
              </w:rPr>
              <w:t>T05</w:t>
            </w:r>
          </w:p>
        </w:tc>
        <w:tc>
          <w:tcPr>
            <w:tcW w:type="dxa" w:w="3360"/>
            <w:vAlign w:val="center"/>
          </w:tcPr>
          <w:p>
            <w:pPr>
              <w:spacing w:after="0"/>
            </w:pPr>
            <w:r/>
            <w:r>
              <w:rPr>
                <w:b w:val="0"/>
                <w:sz w:val="17"/>
              </w:rPr>
              <w:t>Localisation OFF</w:t>
            </w:r>
          </w:p>
        </w:tc>
        <w:tc>
          <w:tcPr>
            <w:tcW w:type="dxa" w:w="3360"/>
            <w:vAlign w:val="center"/>
          </w:tcPr>
          <w:p>
            <w:pPr>
              <w:spacing w:after="0"/>
            </w:pPr>
            <w:r/>
            <w:r>
              <w:rPr>
                <w:b w:val="0"/>
                <w:sz w:val="17"/>
              </w:rPr>
              <w:t>La section localisation disparaît du site public.</w:t>
            </w:r>
          </w:p>
        </w:tc>
      </w:tr>
      <w:tr>
        <w:tc>
          <w:tcPr>
            <w:tcW w:type="dxa" w:w="3360"/>
            <w:vAlign w:val="center"/>
          </w:tcPr>
          <w:p>
            <w:pPr>
              <w:spacing w:after="0"/>
            </w:pPr>
            <w:r/>
            <w:r>
              <w:rPr>
                <w:b w:val="0"/>
                <w:sz w:val="17"/>
              </w:rPr>
              <w:t>T06</w:t>
            </w:r>
          </w:p>
        </w:tc>
        <w:tc>
          <w:tcPr>
            <w:tcW w:type="dxa" w:w="3360"/>
            <w:vAlign w:val="center"/>
          </w:tcPr>
          <w:p>
            <w:pPr>
              <w:spacing w:after="0"/>
            </w:pPr>
            <w:r/>
            <w:r>
              <w:rPr>
                <w:b w:val="0"/>
                <w:sz w:val="17"/>
              </w:rPr>
              <w:t>Localisation ON</w:t>
            </w:r>
          </w:p>
        </w:tc>
        <w:tc>
          <w:tcPr>
            <w:tcW w:type="dxa" w:w="3360"/>
            <w:vAlign w:val="center"/>
          </w:tcPr>
          <w:p>
            <w:pPr>
              <w:spacing w:after="0"/>
            </w:pPr>
            <w:r/>
            <w:r>
              <w:rPr>
                <w:b w:val="0"/>
                <w:sz w:val="17"/>
              </w:rPr>
              <w:t>Informations et carte réapparaissent si coordonnées disponibles.</w:t>
            </w:r>
          </w:p>
        </w:tc>
      </w:tr>
      <w:tr>
        <w:tc>
          <w:tcPr>
            <w:tcW w:type="dxa" w:w="3360"/>
            <w:vAlign w:val="center"/>
          </w:tcPr>
          <w:p>
            <w:pPr>
              <w:spacing w:after="0"/>
            </w:pPr>
            <w:r/>
            <w:r>
              <w:rPr>
                <w:b w:val="0"/>
                <w:sz w:val="17"/>
              </w:rPr>
              <w:t>T07</w:t>
            </w:r>
          </w:p>
        </w:tc>
        <w:tc>
          <w:tcPr>
            <w:tcW w:type="dxa" w:w="3360"/>
            <w:vAlign w:val="center"/>
          </w:tcPr>
          <w:p>
            <w:pPr>
              <w:spacing w:after="0"/>
            </w:pPr>
            <w:r/>
            <w:r>
              <w:rPr>
                <w:b w:val="0"/>
                <w:sz w:val="17"/>
              </w:rPr>
              <w:t>Roue sans numéro</w:t>
            </w:r>
          </w:p>
        </w:tc>
        <w:tc>
          <w:tcPr>
            <w:tcW w:type="dxa" w:w="3360"/>
            <w:vAlign w:val="center"/>
          </w:tcPr>
          <w:p>
            <w:pPr>
              <w:spacing w:after="0"/>
            </w:pPr>
            <w:r/>
            <w:r>
              <w:rPr>
                <w:b w:val="0"/>
                <w:sz w:val="17"/>
              </w:rPr>
              <w:t>Message demandant le numéro ; aucune rotation.</w:t>
            </w:r>
          </w:p>
        </w:tc>
      </w:tr>
      <w:tr>
        <w:tc>
          <w:tcPr>
            <w:tcW w:type="dxa" w:w="3360"/>
            <w:vAlign w:val="center"/>
          </w:tcPr>
          <w:p>
            <w:pPr>
              <w:spacing w:after="0"/>
            </w:pPr>
            <w:r/>
            <w:r>
              <w:rPr>
                <w:b w:val="0"/>
                <w:sz w:val="17"/>
              </w:rPr>
              <w:t>T08</w:t>
            </w:r>
          </w:p>
        </w:tc>
        <w:tc>
          <w:tcPr>
            <w:tcW w:type="dxa" w:w="3360"/>
            <w:vAlign w:val="center"/>
          </w:tcPr>
          <w:p>
            <w:pPr>
              <w:spacing w:after="0"/>
            </w:pPr>
            <w:r/>
            <w:r>
              <w:rPr>
                <w:b w:val="0"/>
                <w:sz w:val="17"/>
              </w:rPr>
              <w:t>Roue déjà jouée</w:t>
            </w:r>
          </w:p>
        </w:tc>
        <w:tc>
          <w:tcPr>
            <w:tcW w:type="dxa" w:w="3360"/>
            <w:vAlign w:val="center"/>
          </w:tcPr>
          <w:p>
            <w:pPr>
              <w:spacing w:after="0"/>
            </w:pPr>
            <w:r/>
            <w:r>
              <w:rPr>
                <w:b w:val="0"/>
                <w:sz w:val="17"/>
              </w:rPr>
              <w:t>Message indiquant que le client a déjà joué aujourd’hui.</w:t>
            </w:r>
          </w:p>
        </w:tc>
      </w:tr>
      <w:tr>
        <w:tc>
          <w:tcPr>
            <w:tcW w:type="dxa" w:w="3360"/>
            <w:vAlign w:val="center"/>
          </w:tcPr>
          <w:p>
            <w:pPr>
              <w:spacing w:after="0"/>
            </w:pPr>
            <w:r/>
            <w:r>
              <w:rPr>
                <w:b w:val="0"/>
                <w:sz w:val="17"/>
              </w:rPr>
              <w:t>T09</w:t>
            </w:r>
          </w:p>
        </w:tc>
        <w:tc>
          <w:tcPr>
            <w:tcW w:type="dxa" w:w="3360"/>
            <w:vAlign w:val="center"/>
          </w:tcPr>
          <w:p>
            <w:pPr>
              <w:spacing w:after="0"/>
            </w:pPr>
            <w:r/>
            <w:r>
              <w:rPr>
                <w:b w:val="0"/>
                <w:sz w:val="17"/>
              </w:rPr>
              <w:t>Seuil 390 → 400</w:t>
            </w:r>
          </w:p>
        </w:tc>
        <w:tc>
          <w:tcPr>
            <w:tcW w:type="dxa" w:w="3360"/>
            <w:vAlign w:val="center"/>
          </w:tcPr>
          <w:p>
            <w:pPr>
              <w:spacing w:after="0"/>
            </w:pPr>
            <w:r/>
            <w:r>
              <w:rPr>
                <w:b w:val="0"/>
                <w:sz w:val="17"/>
              </w:rPr>
              <w:t>Avec seuil 400 et +20, solde final 400 et récompense configurée créée.</w:t>
            </w:r>
          </w:p>
        </w:tc>
      </w:tr>
      <w:tr>
        <w:tc>
          <w:tcPr>
            <w:tcW w:type="dxa" w:w="3360"/>
            <w:vAlign w:val="center"/>
          </w:tcPr>
          <w:p>
            <w:pPr>
              <w:spacing w:after="0"/>
            </w:pPr>
            <w:r/>
            <w:r>
              <w:rPr>
                <w:b w:val="0"/>
                <w:sz w:val="17"/>
              </w:rPr>
              <w:t>T10</w:t>
            </w:r>
          </w:p>
        </w:tc>
        <w:tc>
          <w:tcPr>
            <w:tcW w:type="dxa" w:w="3360"/>
            <w:vAlign w:val="center"/>
          </w:tcPr>
          <w:p>
            <w:pPr>
              <w:spacing w:after="0"/>
            </w:pPr>
            <w:r/>
            <w:r>
              <w:rPr>
                <w:b w:val="0"/>
                <w:sz w:val="17"/>
              </w:rPr>
              <w:t>Récompense fidélité consommée</w:t>
            </w:r>
          </w:p>
        </w:tc>
        <w:tc>
          <w:tcPr>
            <w:tcW w:type="dxa" w:w="3360"/>
            <w:vAlign w:val="center"/>
          </w:tcPr>
          <w:p>
            <w:pPr>
              <w:spacing w:after="0"/>
            </w:pPr>
            <w:r/>
            <w:r>
              <w:rPr>
                <w:b w:val="0"/>
                <w:sz w:val="17"/>
              </w:rPr>
              <w:t>Récompense used=true et solde repart au nombre de pépites gagnées par la nouvelle commande.</w:t>
            </w:r>
          </w:p>
        </w:tc>
      </w:tr>
      <w:tr>
        <w:tc>
          <w:tcPr>
            <w:tcW w:type="dxa" w:w="3360"/>
            <w:vAlign w:val="center"/>
          </w:tcPr>
          <w:p>
            <w:pPr>
              <w:spacing w:after="0"/>
            </w:pPr>
            <w:r/>
            <w:r>
              <w:rPr>
                <w:b w:val="0"/>
                <w:sz w:val="17"/>
              </w:rPr>
              <w:t>T11</w:t>
            </w:r>
          </w:p>
        </w:tc>
        <w:tc>
          <w:tcPr>
            <w:tcW w:type="dxa" w:w="3360"/>
            <w:vAlign w:val="center"/>
          </w:tcPr>
          <w:p>
            <w:pPr>
              <w:spacing w:after="0"/>
            </w:pPr>
            <w:r/>
            <w:r>
              <w:rPr>
                <w:b w:val="0"/>
                <w:sz w:val="17"/>
              </w:rPr>
              <w:t>Code parrainage valide</w:t>
            </w:r>
          </w:p>
        </w:tc>
        <w:tc>
          <w:tcPr>
            <w:tcW w:type="dxa" w:w="3360"/>
            <w:vAlign w:val="center"/>
          </w:tcPr>
          <w:p>
            <w:pPr>
              <w:spacing w:after="0"/>
            </w:pPr>
            <w:r/>
            <w:r>
              <w:rPr>
                <w:b w:val="0"/>
                <w:sz w:val="17"/>
              </w:rPr>
              <w:t>Le code peut apparaître dans la confirmation avec symbole de validation.</w:t>
            </w:r>
          </w:p>
        </w:tc>
      </w:tr>
      <w:tr>
        <w:tc>
          <w:tcPr>
            <w:tcW w:type="dxa" w:w="3360"/>
            <w:vAlign w:val="center"/>
          </w:tcPr>
          <w:p>
            <w:pPr>
              <w:spacing w:after="0"/>
            </w:pPr>
            <w:r/>
            <w:r>
              <w:rPr>
                <w:b w:val="0"/>
                <w:sz w:val="17"/>
              </w:rPr>
              <w:t>T12</w:t>
            </w:r>
          </w:p>
        </w:tc>
        <w:tc>
          <w:tcPr>
            <w:tcW w:type="dxa" w:w="3360"/>
            <w:vAlign w:val="center"/>
          </w:tcPr>
          <w:p>
            <w:pPr>
              <w:spacing w:after="0"/>
            </w:pPr>
            <w:r/>
            <w:r>
              <w:rPr>
                <w:b w:val="0"/>
                <w:sz w:val="17"/>
              </w:rPr>
              <w:t>Code invalide</w:t>
            </w:r>
          </w:p>
        </w:tc>
        <w:tc>
          <w:tcPr>
            <w:tcW w:type="dxa" w:w="3360"/>
            <w:vAlign w:val="center"/>
          </w:tcPr>
          <w:p>
            <w:pPr>
              <w:spacing w:after="0"/>
            </w:pPr>
            <w:r/>
            <w:r>
              <w:rPr>
                <w:b w:val="0"/>
                <w:sz w:val="17"/>
              </w:rPr>
              <w:t>Aucune mention du code dans la confirmation.</w:t>
            </w:r>
          </w:p>
        </w:tc>
      </w:tr>
      <w:tr>
        <w:tc>
          <w:tcPr>
            <w:tcW w:type="dxa" w:w="3360"/>
            <w:vAlign w:val="center"/>
          </w:tcPr>
          <w:p>
            <w:pPr>
              <w:spacing w:after="0"/>
            </w:pPr>
            <w:r/>
            <w:r>
              <w:rPr>
                <w:b w:val="0"/>
                <w:sz w:val="17"/>
              </w:rPr>
              <w:t>T13</w:t>
            </w:r>
          </w:p>
        </w:tc>
        <w:tc>
          <w:tcPr>
            <w:tcW w:type="dxa" w:w="3360"/>
            <w:vAlign w:val="center"/>
          </w:tcPr>
          <w:p>
            <w:pPr>
              <w:spacing w:after="0"/>
            </w:pPr>
            <w:r/>
            <w:r>
              <w:rPr>
                <w:b w:val="0"/>
                <w:sz w:val="17"/>
              </w:rPr>
              <w:t>Paramètres roue</w:t>
            </w:r>
          </w:p>
        </w:tc>
        <w:tc>
          <w:tcPr>
            <w:tcW w:type="dxa" w:w="3360"/>
            <w:vAlign w:val="center"/>
          </w:tcPr>
          <w:p>
            <w:pPr>
              <w:spacing w:after="0"/>
            </w:pPr>
            <w:r/>
            <w:r>
              <w:rPr>
                <w:b w:val="0"/>
                <w:sz w:val="17"/>
              </w:rPr>
              <w:t>Modification du dashboard visible par la roue publique sans modifier le code.</w:t>
            </w:r>
          </w:p>
        </w:tc>
      </w:tr>
      <w:tr>
        <w:tc>
          <w:tcPr>
            <w:tcW w:type="dxa" w:w="3360"/>
            <w:vAlign w:val="center"/>
          </w:tcPr>
          <w:p>
            <w:pPr>
              <w:spacing w:after="0"/>
            </w:pPr>
            <w:r/>
            <w:r>
              <w:rPr>
                <w:b w:val="0"/>
                <w:sz w:val="17"/>
              </w:rPr>
              <w:t>T14</w:t>
            </w:r>
          </w:p>
        </w:tc>
        <w:tc>
          <w:tcPr>
            <w:tcW w:type="dxa" w:w="3360"/>
            <w:vAlign w:val="center"/>
          </w:tcPr>
          <w:p>
            <w:pPr>
              <w:spacing w:after="0"/>
            </w:pPr>
            <w:r/>
            <w:r>
              <w:rPr>
                <w:b w:val="0"/>
                <w:sz w:val="17"/>
              </w:rPr>
              <w:t>Build</w:t>
            </w:r>
          </w:p>
        </w:tc>
        <w:tc>
          <w:tcPr>
            <w:tcW w:type="dxa" w:w="3360"/>
            <w:vAlign w:val="center"/>
          </w:tcPr>
          <w:p>
            <w:pPr>
              <w:spacing w:after="0"/>
            </w:pPr>
            <w:r/>
            <w:r>
              <w:rPr>
                <w:b w:val="0"/>
                <w:sz w:val="17"/>
              </w:rPr>
              <w:t>npm run build termine sans erreur client ni SSR.</w:t>
            </w:r>
          </w:p>
        </w:tc>
      </w:tr>
    </w:tbl>
    <w:p>
      <w:pPr>
        <w:spacing w:after="0"/>
      </w:pPr>
    </w:p>
    <w:p>
      <w:pPr>
        <w:pStyle w:val="Heading1"/>
      </w:pPr>
      <w:r>
        <w:t>11. État actuel du projet</w:t>
      </w:r>
    </w:p>
    <w:p>
      <w:pPr>
        <w:spacing w:after="100"/>
      </w:pPr>
      <w:r>
        <w:t>Au 28 août 2026, la version web est considérée comme opérationnelle pour un test en situation réelle. La plateforme a déjà été vérifiée sur plusieurs flux critiques : commandes, fidélité, roue, parrainage, récompenses, notes de commande, localisation, dashboard et build de production.</w:t>
      </w:r>
    </w:p>
    <w:tbl>
      <w:tblPr>
        <w:tblStyle w:val="TableGrid"/>
        <w:tblW w:type="auto" w:w="0"/>
        <w:jc w:val="center"/>
        <w:tblLook w:firstColumn="1" w:firstRow="1" w:lastColumn="0" w:lastRow="0" w:noHBand="0" w:noVBand="1" w:val="04A0"/>
      </w:tblPr>
      <w:tblGrid>
        <w:gridCol w:w="10080"/>
      </w:tblGrid>
      <w:tr>
        <w:tc>
          <w:tcPr>
            <w:tcW w:type="dxa" w:w="10080"/>
            <w:shd w:fill="F7F0E5"/>
            <w:vAlign w:val="center"/>
          </w:tcPr>
          <w:p>
            <w:pPr>
              <w:spacing w:after="40"/>
            </w:pPr>
            <w:r/>
            <w:r>
              <w:rPr>
                <w:b w:val="0"/>
                <w:sz w:val="18"/>
              </w:rPr>
            </w:r>
            <w:r>
              <w:rPr>
                <w:b/>
                <w:color w:val="6B4F2A"/>
                <w:sz w:val="21"/>
              </w:rPr>
              <w:t>Point de référence Git</w:t>
            </w:r>
          </w:p>
          <w:p>
            <w:pPr>
              <w:spacing w:after="0"/>
            </w:pPr>
            <w:r>
              <w:t>Le dépôt GitHub est synchronisé sur la branche main. Le commit de référence après nettoyage est b4c2767 (« Nettoyage des traces Lovable »), précédé de 3cef5a3 pour la restructuration du système de pépites et récompenses.</w:t>
            </w:r>
          </w:p>
        </w:tc>
      </w:tr>
    </w:tbl>
    <w:p>
      <w:pPr>
        <w:spacing w:after="0"/>
      </w:pPr>
    </w:p>
    <w:p>
      <w:pPr>
        <w:pStyle w:val="Heading1"/>
      </w:pPr>
      <w:r>
        <w:t>12. Développement, versioning et déploiement</w:t>
      </w:r>
    </w:p>
    <w:p>
      <w:pPr>
        <w:pStyle w:val="ListBullet"/>
        <w:spacing w:after="60"/>
      </w:pPr>
      <w:r>
        <w:t>Lancer le projet en local avec npm run dev.</w:t>
      </w:r>
    </w:p>
    <w:p>
      <w:pPr>
        <w:pStyle w:val="ListBullet"/>
        <w:spacing w:after="60"/>
      </w:pPr>
      <w:r>
        <w:t>Valider une évolution majeure avec npm run build.</w:t>
      </w:r>
    </w:p>
    <w:p>
      <w:pPr>
        <w:pStyle w:val="ListBullet"/>
        <w:spacing w:after="60"/>
      </w:pPr>
      <w:r>
        <w:t>Versionner les changements avec git add -A, git commit -m "..." puis git push.</w:t>
      </w:r>
    </w:p>
    <w:p>
      <w:pPr>
        <w:pStyle w:val="ListBullet"/>
        <w:spacing w:after="60"/>
      </w:pPr>
      <w:r>
        <w:t>Ne jamais committer .env.</w:t>
      </w:r>
    </w:p>
    <w:p>
      <w:pPr>
        <w:pStyle w:val="ListBullet"/>
        <w:spacing w:after="60"/>
      </w:pPr>
      <w:r>
        <w:t>Configurer les variables VITE_SUPABASE_URL et VITE_SUPABASE_ANON_KEY dans l’environnement de déploiement.</w:t>
      </w:r>
    </w:p>
    <w:p>
      <w:pPr>
        <w:pStyle w:val="ListBullet"/>
        <w:spacing w:after="60"/>
      </w:pPr>
      <w:r>
        <w:t>Conserver GitHub comme source de sauvegarde et d’historique du projet.</w:t>
      </w:r>
    </w:p>
    <w:p>
      <w:pPr>
        <w:pStyle w:val="Heading1"/>
      </w:pPr>
      <w:r>
        <w:t>13. Feuille de route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6B4F2A"/>
          </w:tcPr>
          <w:p>
            <w:pPr>
              <w:spacing w:after="0"/>
            </w:pPr>
            <w:r/>
            <w:r>
              <w:rPr>
                <w:b/>
                <w:color w:val="FFFFFF"/>
                <w:sz w:val="18"/>
              </w:rPr>
              <w:t>Priorité</w:t>
            </w:r>
          </w:p>
        </w:tc>
        <w:tc>
          <w:tcPr>
            <w:tcW w:type="dxa" w:w="3360"/>
            <w:vAlign w:val="center"/>
            <w:shd w:fill="6B4F2A"/>
          </w:tcPr>
          <w:p>
            <w:pPr>
              <w:spacing w:after="0"/>
            </w:pPr>
            <w:r/>
            <w:r>
              <w:rPr>
                <w:b/>
                <w:color w:val="FFFFFF"/>
                <w:sz w:val="18"/>
              </w:rPr>
              <w:t>Évolution</w:t>
            </w:r>
          </w:p>
        </w:tc>
        <w:tc>
          <w:tcPr>
            <w:tcW w:type="dxa" w:w="3360"/>
            <w:vAlign w:val="center"/>
            <w:shd w:fill="6B4F2A"/>
          </w:tcPr>
          <w:p>
            <w:pPr>
              <w:spacing w:after="0"/>
            </w:pPr>
            <w:r/>
            <w:r>
              <w:rPr>
                <w:b/>
                <w:color w:val="FFFFFF"/>
                <w:sz w:val="18"/>
              </w:rPr>
              <w:t>Finalité</w:t>
            </w:r>
          </w:p>
        </w:tc>
      </w:tr>
      <w:tr>
        <w:tc>
          <w:tcPr>
            <w:tcW w:type="dxa" w:w="3360"/>
            <w:vAlign w:val="center"/>
          </w:tcPr>
          <w:p>
            <w:pPr>
              <w:spacing w:after="0"/>
            </w:pPr>
            <w:r/>
            <w:r>
              <w:rPr>
                <w:b w:val="0"/>
                <w:sz w:val="17"/>
              </w:rPr>
              <w:t>P1</w:t>
            </w:r>
          </w:p>
        </w:tc>
        <w:tc>
          <w:tcPr>
            <w:tcW w:type="dxa" w:w="3360"/>
            <w:vAlign w:val="center"/>
          </w:tcPr>
          <w:p>
            <w:pPr>
              <w:spacing w:after="0"/>
            </w:pPr>
            <w:r/>
            <w:r>
              <w:rPr>
                <w:b w:val="0"/>
                <w:sz w:val="17"/>
              </w:rPr>
              <w:t>Test réel avec une vendeuse</w:t>
            </w:r>
          </w:p>
        </w:tc>
        <w:tc>
          <w:tcPr>
            <w:tcW w:type="dxa" w:w="3360"/>
            <w:vAlign w:val="center"/>
          </w:tcPr>
          <w:p>
            <w:pPr>
              <w:spacing w:after="0"/>
            </w:pPr>
            <w:r/>
            <w:r>
              <w:rPr>
                <w:b w:val="0"/>
                <w:sz w:val="17"/>
              </w:rPr>
              <w:t>Valider le produit dans des conditions quotidiennes et recueillir les besoins terrain.</w:t>
            </w:r>
          </w:p>
        </w:tc>
      </w:tr>
      <w:tr>
        <w:tc>
          <w:tcPr>
            <w:tcW w:type="dxa" w:w="3360"/>
            <w:vAlign w:val="center"/>
          </w:tcPr>
          <w:p>
            <w:pPr>
              <w:spacing w:after="0"/>
            </w:pPr>
            <w:r/>
            <w:r>
              <w:rPr>
                <w:b w:val="0"/>
                <w:sz w:val="17"/>
              </w:rPr>
              <w:t>P1</w:t>
            </w:r>
          </w:p>
        </w:tc>
        <w:tc>
          <w:tcPr>
            <w:tcW w:type="dxa" w:w="3360"/>
            <w:vAlign w:val="center"/>
          </w:tcPr>
          <w:p>
            <w:pPr>
              <w:spacing w:after="0"/>
            </w:pPr>
            <w:r/>
            <w:r>
              <w:rPr>
                <w:b w:val="0"/>
                <w:sz w:val="17"/>
              </w:rPr>
              <w:t>Stabilisation et corrections</w:t>
            </w:r>
          </w:p>
        </w:tc>
        <w:tc>
          <w:tcPr>
            <w:tcW w:type="dxa" w:w="3360"/>
            <w:vAlign w:val="center"/>
          </w:tcPr>
          <w:p>
            <w:pPr>
              <w:spacing w:after="0"/>
            </w:pPr>
            <w:r/>
            <w:r>
              <w:rPr>
                <w:b w:val="0"/>
                <w:sz w:val="17"/>
              </w:rPr>
              <w:t>Traiter les cas limites issus du test réel.</w:t>
            </w:r>
          </w:p>
        </w:tc>
      </w:tr>
      <w:tr>
        <w:tc>
          <w:tcPr>
            <w:tcW w:type="dxa" w:w="3360"/>
            <w:vAlign w:val="center"/>
          </w:tcPr>
          <w:p>
            <w:pPr>
              <w:spacing w:after="0"/>
            </w:pPr>
            <w:r/>
            <w:r>
              <w:rPr>
                <w:b w:val="0"/>
                <w:sz w:val="17"/>
              </w:rPr>
              <w:t>P2</w:t>
            </w:r>
          </w:p>
        </w:tc>
        <w:tc>
          <w:tcPr>
            <w:tcW w:type="dxa" w:w="3360"/>
            <w:vAlign w:val="center"/>
          </w:tcPr>
          <w:p>
            <w:pPr>
              <w:spacing w:after="0"/>
            </w:pPr>
            <w:r/>
            <w:r>
              <w:rPr>
                <w:b w:val="0"/>
                <w:sz w:val="17"/>
              </w:rPr>
              <w:t>Gestion avancée du dashboard</w:t>
            </w:r>
          </w:p>
        </w:tc>
        <w:tc>
          <w:tcPr>
            <w:tcW w:type="dxa" w:w="3360"/>
            <w:vAlign w:val="center"/>
          </w:tcPr>
          <w:p>
            <w:pPr>
              <w:spacing w:after="0"/>
            </w:pPr>
            <w:r/>
            <w:r>
              <w:rPr>
                <w:b w:val="0"/>
                <w:sz w:val="17"/>
              </w:rPr>
              <w:t>Rendre les contrôles encore plus simples sans augmenter la complexité.</w:t>
            </w:r>
          </w:p>
        </w:tc>
      </w:tr>
      <w:tr>
        <w:tc>
          <w:tcPr>
            <w:tcW w:type="dxa" w:w="3360"/>
            <w:vAlign w:val="center"/>
          </w:tcPr>
          <w:p>
            <w:pPr>
              <w:spacing w:after="0"/>
            </w:pPr>
            <w:r/>
            <w:r>
              <w:rPr>
                <w:b w:val="0"/>
                <w:sz w:val="17"/>
              </w:rPr>
              <w:t>P2</w:t>
            </w:r>
          </w:p>
        </w:tc>
        <w:tc>
          <w:tcPr>
            <w:tcW w:type="dxa" w:w="3360"/>
            <w:vAlign w:val="center"/>
          </w:tcPr>
          <w:p>
            <w:pPr>
              <w:spacing w:after="0"/>
            </w:pPr>
            <w:r/>
            <w:r>
              <w:rPr>
                <w:b w:val="0"/>
                <w:sz w:val="17"/>
              </w:rPr>
              <w:t>Amélioration des notifications</w:t>
            </w:r>
          </w:p>
        </w:tc>
        <w:tc>
          <w:tcPr>
            <w:tcW w:type="dxa" w:w="3360"/>
            <w:vAlign w:val="center"/>
          </w:tcPr>
          <w:p>
            <w:pPr>
              <w:spacing w:after="0"/>
            </w:pPr>
            <w:r/>
            <w:r>
              <w:rPr>
                <w:b w:val="0"/>
                <w:sz w:val="17"/>
              </w:rPr>
              <w:t>Renforcer les rappels utiles et les confirmations.</w:t>
            </w:r>
          </w:p>
        </w:tc>
      </w:tr>
      <w:tr>
        <w:tc>
          <w:tcPr>
            <w:tcW w:type="dxa" w:w="3360"/>
            <w:vAlign w:val="center"/>
          </w:tcPr>
          <w:p>
            <w:pPr>
              <w:spacing w:after="0"/>
            </w:pPr>
            <w:r/>
            <w:r>
              <w:rPr>
                <w:b w:val="0"/>
                <w:sz w:val="17"/>
              </w:rPr>
              <w:t>P3</w:t>
            </w:r>
          </w:p>
        </w:tc>
        <w:tc>
          <w:tcPr>
            <w:tcW w:type="dxa" w:w="3360"/>
            <w:vAlign w:val="center"/>
          </w:tcPr>
          <w:p>
            <w:pPr>
              <w:spacing w:after="0"/>
            </w:pPr>
            <w:r/>
            <w:r>
              <w:rPr>
                <w:b w:val="0"/>
                <w:sz w:val="17"/>
              </w:rPr>
              <w:t>PWA</w:t>
            </w:r>
          </w:p>
        </w:tc>
        <w:tc>
          <w:tcPr>
            <w:tcW w:type="dxa" w:w="3360"/>
            <w:vAlign w:val="center"/>
          </w:tcPr>
          <w:p>
            <w:pPr>
              <w:spacing w:after="0"/>
            </w:pPr>
            <w:r/>
            <w:r>
              <w:rPr>
                <w:b w:val="0"/>
                <w:sz w:val="17"/>
              </w:rPr>
              <w:t>Proposer une expérience installable avant une app mobile native.</w:t>
            </w:r>
          </w:p>
        </w:tc>
      </w:tr>
      <w:tr>
        <w:tc>
          <w:tcPr>
            <w:tcW w:type="dxa" w:w="3360"/>
            <w:vAlign w:val="center"/>
          </w:tcPr>
          <w:p>
            <w:pPr>
              <w:spacing w:after="0"/>
            </w:pPr>
            <w:r/>
            <w:r>
              <w:rPr>
                <w:b w:val="0"/>
                <w:sz w:val="17"/>
              </w:rPr>
              <w:t>P3</w:t>
            </w:r>
          </w:p>
        </w:tc>
        <w:tc>
          <w:tcPr>
            <w:tcW w:type="dxa" w:w="3360"/>
            <w:vAlign w:val="center"/>
          </w:tcPr>
          <w:p>
            <w:pPr>
              <w:spacing w:after="0"/>
            </w:pPr>
            <w:r/>
            <w:r>
              <w:rPr>
                <w:b w:val="0"/>
                <w:sz w:val="17"/>
              </w:rPr>
              <w:t>Application Android/iOS</w:t>
            </w:r>
          </w:p>
        </w:tc>
        <w:tc>
          <w:tcPr>
            <w:tcW w:type="dxa" w:w="3360"/>
            <w:vAlign w:val="center"/>
          </w:tcPr>
          <w:p>
            <w:pPr>
              <w:spacing w:after="0"/>
            </w:pPr>
            <w:r/>
            <w:r>
              <w:rPr>
                <w:b w:val="0"/>
                <w:sz w:val="17"/>
              </w:rPr>
              <w:t>Évolution possible à partir de la base web, sans réécriture nécessairement complète.</w:t>
            </w:r>
          </w:p>
        </w:tc>
      </w:tr>
    </w:tbl>
    <w:p>
      <w:pPr>
        <w:spacing w:after="0"/>
      </w:pPr>
    </w:p>
    <w:p>
      <w:pPr>
        <w:pStyle w:val="Heading1"/>
      </w:pPr>
      <w:r>
        <w:t>14. Historique synthétique du projet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6B4F2A"/>
          </w:tcPr>
          <w:p>
            <w:pPr>
              <w:spacing w:after="0"/>
            </w:pPr>
            <w:r/>
            <w:r>
              <w:rPr>
                <w:b/>
                <w:color w:val="FFFFFF"/>
                <w:sz w:val="18"/>
              </w:rPr>
              <w:t>Étape</w:t>
            </w:r>
          </w:p>
        </w:tc>
        <w:tc>
          <w:tcPr>
            <w:tcW w:type="dxa" w:w="5040"/>
            <w:vAlign w:val="center"/>
            <w:shd w:fill="6B4F2A"/>
          </w:tcPr>
          <w:p>
            <w:pPr>
              <w:spacing w:after="0"/>
            </w:pPr>
            <w:r/>
            <w:r>
              <w:rPr>
                <w:b/>
                <w:color w:val="FFFFFF"/>
                <w:sz w:val="18"/>
              </w:rPr>
              <w:t>Évolution</w:t>
            </w:r>
          </w:p>
        </w:tc>
      </w:tr>
      <w:tr>
        <w:tc>
          <w:tcPr>
            <w:tcW w:type="dxa" w:w="5040"/>
            <w:vAlign w:val="center"/>
          </w:tcPr>
          <w:p>
            <w:pPr>
              <w:spacing w:after="0"/>
            </w:pPr>
            <w:r/>
            <w:r>
              <w:rPr>
                <w:b w:val="0"/>
                <w:sz w:val="17"/>
              </w:rPr>
              <w:t>1</w:t>
            </w:r>
          </w:p>
        </w:tc>
        <w:tc>
          <w:tcPr>
            <w:tcW w:type="dxa" w:w="5040"/>
            <w:vAlign w:val="center"/>
          </w:tcPr>
          <w:p>
            <w:pPr>
              <w:spacing w:after="0"/>
            </w:pPr>
            <w:r/>
            <w:r>
              <w:rPr>
                <w:b w:val="0"/>
                <w:sz w:val="17"/>
              </w:rPr>
              <w:t>Prototype initial issu de Lovable et reprise locale dans VS Code.</w:t>
            </w:r>
          </w:p>
        </w:tc>
      </w:tr>
      <w:tr>
        <w:tc>
          <w:tcPr>
            <w:tcW w:type="dxa" w:w="5040"/>
            <w:vAlign w:val="center"/>
          </w:tcPr>
          <w:p>
            <w:pPr>
              <w:spacing w:after="0"/>
            </w:pPr>
            <w:r/>
            <w:r>
              <w:rPr>
                <w:b w:val="0"/>
                <w:sz w:val="17"/>
              </w:rPr>
              <w:t>2</w:t>
            </w:r>
          </w:p>
        </w:tc>
        <w:tc>
          <w:tcPr>
            <w:tcW w:type="dxa" w:w="5040"/>
            <w:vAlign w:val="center"/>
          </w:tcPr>
          <w:p>
            <w:pPr>
              <w:spacing w:after="0"/>
            </w:pPr>
            <w:r/>
            <w:r>
              <w:rPr>
                <w:b w:val="0"/>
                <w:sz w:val="17"/>
              </w:rPr>
              <w:t>Connexion à Supabase pour les produits, commandes et données clients.</w:t>
            </w:r>
          </w:p>
        </w:tc>
      </w:tr>
      <w:tr>
        <w:tc>
          <w:tcPr>
            <w:tcW w:type="dxa" w:w="5040"/>
            <w:vAlign w:val="center"/>
          </w:tcPr>
          <w:p>
            <w:pPr>
              <w:spacing w:after="0"/>
            </w:pPr>
            <w:r/>
            <w:r>
              <w:rPr>
                <w:b w:val="0"/>
                <w:sz w:val="17"/>
              </w:rPr>
              <w:t>3</w:t>
            </w:r>
          </w:p>
        </w:tc>
        <w:tc>
          <w:tcPr>
            <w:tcW w:type="dxa" w:w="5040"/>
            <w:vAlign w:val="center"/>
          </w:tcPr>
          <w:p>
            <w:pPr>
              <w:spacing w:after="0"/>
            </w:pPr>
            <w:r/>
            <w:r>
              <w:rPr>
                <w:b w:val="0"/>
                <w:sz w:val="17"/>
              </w:rPr>
              <w:t>Mise en place des commandes, RLS et correction des erreurs d’insertion.</w:t>
            </w:r>
          </w:p>
        </w:tc>
      </w:tr>
      <w:tr>
        <w:tc>
          <w:tcPr>
            <w:tcW w:type="dxa" w:w="5040"/>
            <w:vAlign w:val="center"/>
          </w:tcPr>
          <w:p>
            <w:pPr>
              <w:spacing w:after="0"/>
            </w:pPr>
            <w:r/>
            <w:r>
              <w:rPr>
                <w:b w:val="0"/>
                <w:sz w:val="17"/>
              </w:rPr>
              <w:t>4</w:t>
            </w:r>
          </w:p>
        </w:tc>
        <w:tc>
          <w:tcPr>
            <w:tcW w:type="dxa" w:w="5040"/>
            <w:vAlign w:val="center"/>
          </w:tcPr>
          <w:p>
            <w:pPr>
              <w:spacing w:after="0"/>
            </w:pPr>
            <w:r/>
            <w:r>
              <w:rPr>
                <w:b w:val="0"/>
                <w:sz w:val="17"/>
              </w:rPr>
              <w:t>Ajout des pépites, de la roue quotidienne, des récompenses et du parrainage.</w:t>
            </w:r>
          </w:p>
        </w:tc>
      </w:tr>
      <w:tr>
        <w:tc>
          <w:tcPr>
            <w:tcW w:type="dxa" w:w="5040"/>
            <w:vAlign w:val="center"/>
          </w:tcPr>
          <w:p>
            <w:pPr>
              <w:spacing w:after="0"/>
            </w:pPr>
            <w:r/>
            <w:r>
              <w:rPr>
                <w:b w:val="0"/>
                <w:sz w:val="17"/>
              </w:rPr>
              <w:t>5</w:t>
            </w:r>
          </w:p>
        </w:tc>
        <w:tc>
          <w:tcPr>
            <w:tcW w:type="dxa" w:w="5040"/>
            <w:vAlign w:val="center"/>
          </w:tcPr>
          <w:p>
            <w:pPr>
              <w:spacing w:after="0"/>
            </w:pPr>
            <w:r/>
            <w:r>
              <w:rPr>
                <w:b w:val="0"/>
                <w:sz w:val="17"/>
              </w:rPr>
              <w:t>Migration des données de fidélité vers Supabase et suppression de la dépendance aux points locaux du navigateur.</w:t>
            </w:r>
          </w:p>
        </w:tc>
      </w:tr>
      <w:tr>
        <w:tc>
          <w:tcPr>
            <w:tcW w:type="dxa" w:w="5040"/>
            <w:vAlign w:val="center"/>
          </w:tcPr>
          <w:p>
            <w:pPr>
              <w:spacing w:after="0"/>
            </w:pPr>
            <w:r/>
            <w:r>
              <w:rPr>
                <w:b w:val="0"/>
                <w:sz w:val="17"/>
              </w:rPr>
              <w:t>6</w:t>
            </w:r>
          </w:p>
        </w:tc>
        <w:tc>
          <w:tcPr>
            <w:tcW w:type="dxa" w:w="5040"/>
            <w:vAlign w:val="center"/>
          </w:tcPr>
          <w:p>
            <w:pPr>
              <w:spacing w:after="0"/>
            </w:pPr>
            <w:r/>
            <w:r>
              <w:rPr>
                <w:b w:val="0"/>
                <w:sz w:val="17"/>
              </w:rPr>
              <w:t>Prise en charge des notes par article dans les commandes.</w:t>
            </w:r>
          </w:p>
        </w:tc>
      </w:tr>
      <w:tr>
        <w:tc>
          <w:tcPr>
            <w:tcW w:type="dxa" w:w="5040"/>
            <w:vAlign w:val="center"/>
          </w:tcPr>
          <w:p>
            <w:pPr>
              <w:spacing w:after="0"/>
            </w:pPr>
            <w:r/>
            <w:r>
              <w:rPr>
                <w:b w:val="0"/>
                <w:sz w:val="17"/>
              </w:rPr>
              <w:t>7</w:t>
            </w:r>
          </w:p>
        </w:tc>
        <w:tc>
          <w:tcPr>
            <w:tcW w:type="dxa" w:w="5040"/>
            <w:vAlign w:val="center"/>
          </w:tcPr>
          <w:p>
            <w:pPr>
              <w:spacing w:after="0"/>
            </w:pPr>
            <w:r/>
            <w:r>
              <w:rPr>
                <w:b w:val="0"/>
                <w:sz w:val="17"/>
              </w:rPr>
              <w:t>Mise en place de la localisation optionnelle et de la carte.</w:t>
            </w:r>
          </w:p>
        </w:tc>
      </w:tr>
      <w:tr>
        <w:tc>
          <w:tcPr>
            <w:tcW w:type="dxa" w:w="5040"/>
            <w:vAlign w:val="center"/>
          </w:tcPr>
          <w:p>
            <w:pPr>
              <w:spacing w:after="0"/>
            </w:pPr>
            <w:r/>
            <w:r>
              <w:rPr>
                <w:b w:val="0"/>
                <w:sz w:val="17"/>
              </w:rPr>
              <w:t>8</w:t>
            </w:r>
          </w:p>
        </w:tc>
        <w:tc>
          <w:tcPr>
            <w:tcW w:type="dxa" w:w="5040"/>
            <w:vAlign w:val="center"/>
          </w:tcPr>
          <w:p>
            <w:pPr>
              <w:spacing w:after="0"/>
            </w:pPr>
            <w:r/>
            <w:r>
              <w:rPr>
                <w:b w:val="0"/>
                <w:sz w:val="17"/>
              </w:rPr>
              <w:t>Refonte du modèle de fidélité autour d’un plafond configurable et d’une récompense unique.</w:t>
            </w:r>
          </w:p>
        </w:tc>
      </w:tr>
      <w:tr>
        <w:tc>
          <w:tcPr>
            <w:tcW w:type="dxa" w:w="5040"/>
            <w:vAlign w:val="center"/>
          </w:tcPr>
          <w:p>
            <w:pPr>
              <w:spacing w:after="0"/>
            </w:pPr>
            <w:r/>
            <w:r>
              <w:rPr>
                <w:b w:val="0"/>
                <w:sz w:val="17"/>
              </w:rPr>
              <w:t>9</w:t>
            </w:r>
          </w:p>
        </w:tc>
        <w:tc>
          <w:tcPr>
            <w:tcW w:type="dxa" w:w="5040"/>
            <w:vAlign w:val="center"/>
          </w:tcPr>
          <w:p>
            <w:pPr>
              <w:spacing w:after="0"/>
            </w:pPr>
            <w:r/>
            <w:r>
              <w:rPr>
                <w:b w:val="0"/>
                <w:sz w:val="17"/>
              </w:rPr>
              <w:t>Centralisation des paramètres commerciaux dans app_settings.</w:t>
            </w:r>
          </w:p>
        </w:tc>
      </w:tr>
      <w:tr>
        <w:tc>
          <w:tcPr>
            <w:tcW w:type="dxa" w:w="5040"/>
            <w:vAlign w:val="center"/>
          </w:tcPr>
          <w:p>
            <w:pPr>
              <w:spacing w:after="0"/>
            </w:pPr>
            <w:r/>
            <w:r>
              <w:rPr>
                <w:b w:val="0"/>
                <w:sz w:val="17"/>
              </w:rPr>
              <w:t>10</w:t>
            </w:r>
          </w:p>
        </w:tc>
        <w:tc>
          <w:tcPr>
            <w:tcW w:type="dxa" w:w="5040"/>
            <w:vAlign w:val="center"/>
          </w:tcPr>
          <w:p>
            <w:pPr>
              <w:spacing w:after="0"/>
            </w:pPr>
            <w:r/>
            <w:r>
              <w:rPr>
                <w:b w:val="0"/>
                <w:sz w:val="17"/>
              </w:rPr>
              <w:t>Création du contrôle dashboard pour fidélité, roue et localisation.</w:t>
            </w:r>
          </w:p>
        </w:tc>
      </w:tr>
      <w:tr>
        <w:tc>
          <w:tcPr>
            <w:tcW w:type="dxa" w:w="5040"/>
            <w:vAlign w:val="center"/>
          </w:tcPr>
          <w:p>
            <w:pPr>
              <w:spacing w:after="0"/>
            </w:pPr>
            <w:r/>
            <w:r>
              <w:rPr>
                <w:b w:val="0"/>
                <w:sz w:val="17"/>
              </w:rPr>
              <w:t>11</w:t>
            </w:r>
          </w:p>
        </w:tc>
        <w:tc>
          <w:tcPr>
            <w:tcW w:type="dxa" w:w="5040"/>
            <w:vAlign w:val="center"/>
          </w:tcPr>
          <w:p>
            <w:pPr>
              <w:spacing w:after="0"/>
            </w:pPr>
            <w:r/>
            <w:r>
              <w:rPr>
                <w:b w:val="0"/>
                <w:sz w:val="17"/>
              </w:rPr>
              <w:t>Nettoyage des traces Lovable inutiles et sauvegarde GitHub.</w:t>
            </w:r>
          </w:p>
        </w:tc>
      </w:tr>
    </w:tbl>
    <w:p>
      <w:pPr>
        <w:spacing w:after="0"/>
      </w:pPr>
    </w:p>
    <w:p>
      <w:pPr>
        <w:pStyle w:val="Heading1"/>
      </w:pPr>
      <w:r>
        <w:t>15. Validation et critères de mise en production</w:t>
      </w:r>
    </w:p>
    <w:p>
      <w:pPr>
        <w:spacing w:after="100"/>
      </w:pPr>
      <w:r>
        <w:t>La plateforme pourra être considérée prête pour une utilisation commerciale pilote lorsque les critères suivants seront tous satisfaits :</w:t>
      </w:r>
    </w:p>
    <w:p>
      <w:pPr>
        <w:pStyle w:val="ListBullet"/>
        <w:spacing w:after="60"/>
      </w:pPr>
      <w:r>
        <w:t>Les commandes réelles sont reçues et visibles dans le dashboard.</w:t>
      </w:r>
    </w:p>
    <w:p>
      <w:pPr>
        <w:pStyle w:val="ListBullet"/>
        <w:spacing w:after="60"/>
      </w:pPr>
      <w:r>
        <w:t>Les notes de préparation sont toujours récupérables par la personne qui prépare la commande.</w:t>
      </w:r>
    </w:p>
    <w:p>
      <w:pPr>
        <w:pStyle w:val="ListBullet"/>
        <w:spacing w:after="60"/>
      </w:pPr>
      <w:r>
        <w:t>Le système de pépites respecte le plafond configuré et le cycle récompense → utilisation → nouveau solde.</w:t>
      </w:r>
    </w:p>
    <w:p>
      <w:pPr>
        <w:pStyle w:val="ListBullet"/>
        <w:spacing w:after="60"/>
      </w:pPr>
      <w:r>
        <w:t>La roue n’autorise qu’un tour quotidien par client et applique les probabilités configurées.</w:t>
      </w:r>
    </w:p>
    <w:p>
      <w:pPr>
        <w:pStyle w:val="ListBullet"/>
        <w:spacing w:after="60"/>
      </w:pPr>
      <w:r>
        <w:t>Les codes de parrainage ne servent pas d’oracle de validation pendant la saisie.</w:t>
      </w:r>
    </w:p>
    <w:p>
      <w:pPr>
        <w:pStyle w:val="ListBullet"/>
        <w:spacing w:after="60"/>
      </w:pPr>
      <w:r>
        <w:t>La localisation peut être affichée ou masquée depuis le dashboard.</w:t>
      </w:r>
    </w:p>
    <w:p>
      <w:pPr>
        <w:pStyle w:val="ListBullet"/>
        <w:spacing w:after="60"/>
      </w:pPr>
      <w:r>
        <w:t>Les paramètres commerciaux sont modifiables depuis Supabase/dashboard sans modification du code.</w:t>
      </w:r>
    </w:p>
    <w:p>
      <w:pPr>
        <w:pStyle w:val="ListBullet"/>
        <w:spacing w:after="60"/>
      </w:pPr>
      <w:r>
        <w:t>Le build de production passe sans erreur et le dépôt GitHub contient une version de référence propre.</w:t>
      </w:r>
    </w:p>
    <w:tbl>
      <w:tblPr>
        <w:tblStyle w:val="TableGrid"/>
        <w:tblW w:type="auto" w:w="0"/>
        <w:jc w:val="center"/>
        <w:tblLook w:firstColumn="1" w:firstRow="1" w:lastColumn="0" w:lastRow="0" w:noHBand="0" w:noVBand="1" w:val="04A0"/>
      </w:tblPr>
      <w:tblGrid>
        <w:gridCol w:w="10080"/>
      </w:tblGrid>
      <w:tr>
        <w:tc>
          <w:tcPr>
            <w:tcW w:type="dxa" w:w="10080"/>
            <w:shd w:fill="F7F0E5"/>
            <w:vAlign w:val="center"/>
          </w:tcPr>
          <w:p>
            <w:pPr>
              <w:spacing w:after="40"/>
            </w:pPr>
            <w:r/>
            <w:r>
              <w:rPr>
                <w:b w:val="0"/>
                <w:sz w:val="18"/>
              </w:rPr>
            </w:r>
            <w:r>
              <w:rPr>
                <w:b/>
                <w:color w:val="6B4F2A"/>
                <w:sz w:val="21"/>
              </w:rPr>
              <w:t>Principe directeur</w:t>
            </w:r>
          </w:p>
          <w:p>
            <w:pPr>
              <w:spacing w:after="0"/>
            </w:pPr>
            <w:r>
              <w:t>Pause Gourmande doit rester simple à exploiter : les fonctionnalités sont ajoutées lorsqu’elles résolvent un problème réel de vente, de préparation ou de fidélisation, et non pour complexifier l’interface.</w:t>
            </w:r>
          </w:p>
        </w:tc>
      </w:tr>
    </w:tbl>
    <w:p>
      <w:pPr>
        <w:spacing w:after="0"/>
      </w:pPr>
    </w:p>
    <w:p>
      <w:pPr>
        <w:spacing w:before="360"/>
        <w:jc w:val="center"/>
      </w:pPr>
      <w:r>
        <w:rPr>
          <w:i/>
          <w:color w:val="787878"/>
          <w:sz w:val="18"/>
        </w:rPr>
        <w:t>Fin du cahier des charges — Document modifiable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 de travail — Version 1.0 — 28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4F2A"/>
        <w:sz w:val="16"/>
      </w:rPr>
      <w:t>PAUSE GOURMANDE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Pause Gourmande — Cahier des charges fonctionnel et technique</dc:title>
  <dc:subject>Cahier des charges du projet Pause Gourmande</dc:subject>
  <dc:creator>Pause Gourmande</dc:creator>
  <cp:keywords>Pause Gourmande, cahier des charges, crêpes, Lomé, Supabase, React</cp:keywords>
  <dc:description>Document de travail modifiable. Version 1.0 du 28 août 2026.</dc:description>
  <cp:lastModifiedBy/>
  <cp:revision>1</cp:revision>
  <dcterms:created xsi:type="dcterms:W3CDTF">2013-12-23T23:15:00Z</dcterms:created>
  <dcterms:modified xsi:type="dcterms:W3CDTF">2013-12-23T23:15:00Z</dcterms:modified>
  <cp:category/>
</cp:coreProperties>
</file>