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Ethical Use Guidance: AI-Generated Educational Video Systems</w:t>
      </w:r>
    </w:p>
    <w:p>
      <w:pPr>
        <w:pStyle w:val="Heading1"/>
      </w:pPr>
      <w:r>
        <w:t>1. Purpose and Scope</w:t>
      </w:r>
    </w:p>
    <w:p>
      <w:r>
        <w:t>This document outlines the ethical principles and operational safeguards for developing and deploying AI-generated educational videos that may include commercial content. It is designed to help stakeholders—including developers, partners, educators, and commercial sponsors—maintain trust, transparency, and symbolic integrity in content delivery.</w:t>
      </w:r>
    </w:p>
    <w:p>
      <w:pPr>
        <w:pStyle w:val="Heading1"/>
      </w:pPr>
      <w:r>
        <w:t>2. Guiding Ethical Principles</w:t>
      </w:r>
    </w:p>
    <w:p>
      <w:pPr>
        <w:pStyle w:val="Heading2"/>
      </w:pPr>
      <w:r>
        <w:t>2.1 Educational Primacy</w:t>
      </w:r>
    </w:p>
    <w:p>
      <w:r>
        <w:t>All AI-generated content should serve an educational purpose first and foremost. Commercial elements must not distort, distract from, or undermine the clarity, truthfulness, or intent of the educational message.</w:t>
      </w:r>
    </w:p>
    <w:p>
      <w:pPr>
        <w:pStyle w:val="Heading2"/>
      </w:pPr>
      <w:r>
        <w:t>2.2 Symbolic Transparency</w:t>
      </w:r>
    </w:p>
    <w:p>
      <w:r>
        <w:t>Commercial content must be explicitly marked and distinguishable from educational material. This includes visual markers, verbal indicators, and metadata tagging to prevent symbolic misalignment or subconscious priming.</w:t>
      </w:r>
    </w:p>
    <w:p>
      <w:pPr>
        <w:pStyle w:val="Heading2"/>
      </w:pPr>
      <w:r>
        <w:t>2.3 Age-Appropriate Integrity</w:t>
      </w:r>
    </w:p>
    <w:p>
      <w:r>
        <w:t>Content targeting children or vulnerable populations must meet stricter symbolic hygiene standards. Product mentions must be neutral, factual, and free from suggestive or emotionally manipulative framing.</w:t>
      </w:r>
    </w:p>
    <w:p>
      <w:pPr>
        <w:pStyle w:val="Heading2"/>
      </w:pPr>
      <w:r>
        <w:t>2.4 Consent-Aware Content Paths</w:t>
      </w:r>
    </w:p>
    <w:p>
      <w:r>
        <w:t>Viewers and parents should have agency in selecting content paths—with options to disable or limit commercial elements. This preference should persist across sessions and be easy to adjust.</w:t>
      </w:r>
    </w:p>
    <w:p>
      <w:pPr>
        <w:pStyle w:val="Heading2"/>
      </w:pPr>
      <w:r>
        <w:t>2.5 Constraint-Enforced Generation</w:t>
      </w:r>
    </w:p>
    <w:p>
      <w:r>
        <w:t>All prompt generation, search processing, and video composition must pass through formal constraint layers (e.g., MeP and Limiting Priming) to block manipulation, misinformation, or symbolic ambiguity.</w:t>
      </w:r>
    </w:p>
    <w:p>
      <w:pPr>
        <w:pStyle w:val="Heading1"/>
      </w:pPr>
      <w:r>
        <w:t>3. Operational Implementation Guidelines</w:t>
      </w:r>
    </w:p>
    <w:p>
      <w:r>
        <w:t>• Define symbolic boundaries between educational material and product mentions within the content generation pipeline.</w:t>
        <w:br/>
        <w:t>• Use MeP to enforce educational coherence and constraint-based filtering of source inputs.</w:t>
        <w:br/>
        <w:t>• Apply Limiting Priming to reduce bias propagation and identify manipulative prompt injections.</w:t>
        <w:br/>
        <w:t>• Maintain full audit trails of prompt inputs, search terms, and final video structure.</w:t>
        <w:br/>
        <w:t>• Incorporate moderation flags and human review checkpoints for high-risk topics or partner content.</w:t>
        <w:br/>
        <w:t>• Require product placement metadata schemas for sponsor uploads to standardize integration and avoid narrative manipulation.</w:t>
      </w:r>
    </w:p>
    <w:p>
      <w:pPr>
        <w:pStyle w:val="Heading1"/>
      </w:pPr>
      <w:r>
        <w:t>4. Sponsor Code of Conduct</w:t>
      </w:r>
    </w:p>
    <w:p>
      <w:r>
        <w:t>Sponsors must agree to:</w:t>
        <w:br/>
        <w:t>• Avoid submitting prompts or product descriptions with suggestive, deceptive, or emotionally coercive language.</w:t>
        <w:br/>
        <w:t>• Submit content to symbolic and ethical review pipelines before publication.</w:t>
        <w:br/>
        <w:t>• Respect the educational focus of all material and not attempt to override core lesson structures.</w:t>
        <w:br/>
        <w:t>• Be transparent about any personalization or demographic targeting requests.</w:t>
      </w:r>
    </w:p>
    <w:p>
      <w:pPr>
        <w:pStyle w:val="Heading1"/>
      </w:pPr>
      <w:r>
        <w:t>5. Auditing and Continuous Review</w:t>
      </w:r>
    </w:p>
    <w:p>
      <w:r>
        <w:t>• Periodically evaluate AI outputs for symbolic clarity, unintended priming, and age-appropriateness.</w:t>
        <w:br/>
        <w:t>• Update constraint libraries to reflect evolving ethical, legal, and cultural standards.</w:t>
        <w:br/>
        <w:t>• Solicit feedback from educators, guardians, and external ethics bodies.</w:t>
        <w:br/>
        <w:t>• Use anonymized viewer interaction data to refine symbolic trust metrics.</w:t>
      </w:r>
    </w:p>
    <w:p>
      <w:pPr>
        <w:pStyle w:val="Heading1"/>
      </w:pPr>
      <w:r>
        <w:t>6. Conclusion</w:t>
      </w:r>
    </w:p>
    <w:p>
      <w:r>
        <w:t>Ethical use of AI-generated educational video systems is not just about compliance—it is about maintaining symbolic integrity, educational trust, and the developmental wellbeing of audiences. This document sets a foundation for responsible innovation, partner alignment, and sustainable growth.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